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DF3D2F" w14:textId="1C2367A3" w:rsidR="00190904" w:rsidRDefault="00C62DF1">
      <w:pPr>
        <w:pStyle w:val="Corps"/>
        <w:ind w:left="5387"/>
        <w:rPr>
          <w:b/>
          <w:bCs/>
        </w:rPr>
      </w:pPr>
      <w:r>
        <w:rPr>
          <w:b/>
          <w:bCs/>
        </w:rPr>
        <w:t xml:space="preserve">Tribunal judiciaire de </w:t>
      </w:r>
      <w:r w:rsidR="00F52E00">
        <w:rPr>
          <w:b/>
          <w:bCs/>
        </w:rPr>
        <w:t>xxxx</w:t>
      </w:r>
    </w:p>
    <w:p w14:paraId="653B188D" w14:textId="77777777" w:rsidR="00190904" w:rsidRDefault="00C62DF1">
      <w:pPr>
        <w:pStyle w:val="Corps"/>
        <w:ind w:left="5387"/>
        <w:rPr>
          <w:b/>
          <w:bCs/>
        </w:rPr>
      </w:pPr>
      <w:r>
        <w:rPr>
          <w:b/>
          <w:bCs/>
        </w:rPr>
        <w:t>Tribunal pour enfants</w:t>
      </w:r>
    </w:p>
    <w:p w14:paraId="2729C951" w14:textId="157B24CD" w:rsidR="00190904" w:rsidRDefault="00C62DF1">
      <w:pPr>
        <w:pStyle w:val="Corps"/>
        <w:ind w:left="5387"/>
        <w:rPr>
          <w:b/>
          <w:bCs/>
        </w:rPr>
      </w:pPr>
      <w:r>
        <w:rPr>
          <w:b/>
          <w:bCs/>
        </w:rPr>
        <w:t xml:space="preserve">A l’attention de </w:t>
      </w:r>
      <w:r w:rsidR="00F52E00">
        <w:rPr>
          <w:b/>
          <w:bCs/>
        </w:rPr>
        <w:t xml:space="preserve">xxxx </w:t>
      </w:r>
      <w:r>
        <w:rPr>
          <w:b/>
          <w:bCs/>
        </w:rPr>
        <w:t>Juge des enfants</w:t>
      </w:r>
    </w:p>
    <w:p w14:paraId="091CF814" w14:textId="77777777" w:rsidR="00190904" w:rsidRDefault="00190904">
      <w:pPr>
        <w:pStyle w:val="Corps"/>
        <w:ind w:left="5387"/>
      </w:pPr>
    </w:p>
    <w:p w14:paraId="3765CDF7" w14:textId="5A50E8DF" w:rsidR="00190904" w:rsidRDefault="00C62DF1">
      <w:pPr>
        <w:pStyle w:val="Corps"/>
        <w:ind w:left="5387"/>
      </w:pPr>
      <w:r>
        <w:t>Par courriel</w:t>
      </w:r>
      <w:r w:rsidR="00F52E00">
        <w:t> : xxx</w:t>
      </w:r>
    </w:p>
    <w:p w14:paraId="6D02A546" w14:textId="3C809DAF" w:rsidR="00F52E00" w:rsidRDefault="00F52E00">
      <w:pPr>
        <w:pStyle w:val="Corps"/>
        <w:ind w:left="5387"/>
      </w:pPr>
      <w:r>
        <w:t>Par RAR n°xxxxx</w:t>
      </w:r>
    </w:p>
    <w:p w14:paraId="592E6838" w14:textId="77777777" w:rsidR="00F52E00" w:rsidRDefault="00F52E00">
      <w:pPr>
        <w:pStyle w:val="Corps"/>
        <w:ind w:left="5387"/>
      </w:pPr>
    </w:p>
    <w:p w14:paraId="579B4722" w14:textId="77777777" w:rsidR="00190904" w:rsidRDefault="00190904">
      <w:pPr>
        <w:pStyle w:val="Corps"/>
        <w:ind w:left="5387"/>
        <w:jc w:val="left"/>
        <w:rPr>
          <w:b/>
          <w:bCs/>
        </w:rPr>
      </w:pPr>
    </w:p>
    <w:p w14:paraId="7B04CB59" w14:textId="77777777" w:rsidR="00190904" w:rsidRDefault="00190904">
      <w:pPr>
        <w:pStyle w:val="Corps"/>
        <w:ind w:left="5387"/>
        <w:jc w:val="left"/>
        <w:rPr>
          <w:b/>
          <w:bCs/>
        </w:rPr>
      </w:pPr>
    </w:p>
    <w:p w14:paraId="01FA1A09" w14:textId="426A440E" w:rsidR="00190904" w:rsidRDefault="00F52E00">
      <w:pPr>
        <w:pStyle w:val="Corps"/>
        <w:ind w:left="5387"/>
        <w:jc w:val="left"/>
      </w:pPr>
      <w:r>
        <w:t xml:space="preserve">Ville </w:t>
      </w:r>
      <w:r w:rsidR="00C62DF1">
        <w:t>, le</w:t>
      </w:r>
      <w:r>
        <w:t xml:space="preserve"> jour/mois/</w:t>
      </w:r>
      <w:r w:rsidR="00C62DF1">
        <w:t>2020</w:t>
      </w:r>
    </w:p>
    <w:p w14:paraId="72C572C1" w14:textId="77777777" w:rsidR="00190904" w:rsidRDefault="00190904">
      <w:pPr>
        <w:pStyle w:val="Corps"/>
        <w:ind w:left="1134"/>
        <w:jc w:val="left"/>
        <w:rPr>
          <w:b/>
          <w:bCs/>
        </w:rPr>
      </w:pPr>
    </w:p>
    <w:p w14:paraId="1BD04BC1" w14:textId="77777777" w:rsidR="00190904" w:rsidRDefault="00190904">
      <w:pPr>
        <w:pStyle w:val="Corps"/>
        <w:ind w:left="1134"/>
        <w:jc w:val="left"/>
        <w:rPr>
          <w:b/>
          <w:bCs/>
        </w:rPr>
      </w:pPr>
    </w:p>
    <w:p w14:paraId="20F6FC6A" w14:textId="77777777" w:rsidR="00190904" w:rsidRDefault="00190904">
      <w:pPr>
        <w:pStyle w:val="Corps"/>
        <w:ind w:left="1134"/>
        <w:jc w:val="left"/>
        <w:rPr>
          <w:b/>
          <w:bCs/>
        </w:rPr>
      </w:pPr>
    </w:p>
    <w:p w14:paraId="3E3E250E" w14:textId="4085DC60" w:rsidR="00190904" w:rsidRDefault="00C62DF1">
      <w:pPr>
        <w:pStyle w:val="Corps"/>
        <w:jc w:val="left"/>
        <w:rPr>
          <w:b/>
          <w:bCs/>
        </w:rPr>
      </w:pPr>
      <w:r>
        <w:rPr>
          <w:b/>
          <w:bCs/>
        </w:rPr>
        <w:t>N. R</w:t>
      </w:r>
      <w:r>
        <w:rPr>
          <w:b/>
          <w:bCs/>
        </w:rPr>
        <w:t>é</w:t>
      </w:r>
      <w:r>
        <w:rPr>
          <w:b/>
          <w:bCs/>
        </w:rPr>
        <w:t>f. :</w:t>
      </w:r>
      <w:r>
        <w:rPr>
          <w:b/>
          <w:bCs/>
        </w:rPr>
        <w:t xml:space="preserve">  </w:t>
      </w:r>
      <w:r w:rsidR="0069221A">
        <w:rPr>
          <w:b/>
          <w:bCs/>
        </w:rPr>
        <w:t>NOM, Prénom</w:t>
      </w:r>
      <w:r>
        <w:rPr>
          <w:b/>
          <w:bCs/>
        </w:rPr>
        <w:t xml:space="preserve"> / ASE </w:t>
      </w:r>
      <w:r w:rsidR="0069221A">
        <w:rPr>
          <w:b/>
          <w:bCs/>
        </w:rPr>
        <w:t>–</w:t>
      </w:r>
      <w:r>
        <w:rPr>
          <w:b/>
          <w:bCs/>
        </w:rPr>
        <w:t xml:space="preserve"> PCD</w:t>
      </w:r>
      <w:r w:rsidR="0069221A">
        <w:rPr>
          <w:b/>
          <w:bCs/>
        </w:rPr>
        <w:t xml:space="preserve"> xxx</w:t>
      </w:r>
    </w:p>
    <w:p w14:paraId="71206CEA" w14:textId="77777777" w:rsidR="00190904" w:rsidRDefault="00C62DF1">
      <w:pPr>
        <w:pStyle w:val="Corps"/>
        <w:rPr>
          <w:b/>
          <w:bCs/>
        </w:rPr>
      </w:pPr>
      <w:r>
        <w:rPr>
          <w:b/>
          <w:bCs/>
        </w:rPr>
        <w:t>V. R</w:t>
      </w:r>
      <w:r>
        <w:rPr>
          <w:b/>
          <w:bCs/>
        </w:rPr>
        <w:t>é</w:t>
      </w:r>
      <w:r>
        <w:rPr>
          <w:b/>
          <w:bCs/>
        </w:rPr>
        <w:t>f. :</w:t>
      </w:r>
    </w:p>
    <w:p w14:paraId="03FF3D41" w14:textId="77777777" w:rsidR="00190904" w:rsidRDefault="00C62DF1">
      <w:pPr>
        <w:pStyle w:val="Corps"/>
      </w:pPr>
      <w:r>
        <w:rPr>
          <w:b/>
          <w:bCs/>
        </w:rPr>
        <w:t xml:space="preserve">Objet : Mesures </w:t>
      </w:r>
      <w:r>
        <w:rPr>
          <w:b/>
          <w:bCs/>
        </w:rPr>
        <w:t>provisoires - article 375-5 du code civil</w:t>
      </w:r>
    </w:p>
    <w:p w14:paraId="71DD9DFC" w14:textId="77777777" w:rsidR="00190904" w:rsidRDefault="00190904">
      <w:pPr>
        <w:pStyle w:val="Corps"/>
      </w:pPr>
    </w:p>
    <w:p w14:paraId="5E02AF4D" w14:textId="77777777" w:rsidR="00190904" w:rsidRDefault="00190904">
      <w:pPr>
        <w:pStyle w:val="Corps"/>
      </w:pPr>
    </w:p>
    <w:p w14:paraId="280C0666" w14:textId="77777777" w:rsidR="00190904" w:rsidRDefault="00190904">
      <w:pPr>
        <w:pStyle w:val="Corps"/>
      </w:pPr>
    </w:p>
    <w:p w14:paraId="705E4055" w14:textId="6A643826" w:rsidR="00190904" w:rsidRDefault="00C62DF1">
      <w:pPr>
        <w:pStyle w:val="Corps"/>
        <w:rPr>
          <w:lang w:val="de-DE"/>
        </w:rPr>
      </w:pPr>
      <w:r w:rsidRPr="001A0A93">
        <w:t>Madame</w:t>
      </w:r>
      <w:r>
        <w:t xml:space="preserve"> la</w:t>
      </w:r>
      <w:r>
        <w:rPr>
          <w:lang w:val="de-DE"/>
        </w:rPr>
        <w:t xml:space="preserve"> Juge,</w:t>
      </w:r>
    </w:p>
    <w:p w14:paraId="21CAEB83" w14:textId="12C9569B" w:rsidR="0069221A" w:rsidRDefault="0069221A">
      <w:pPr>
        <w:pStyle w:val="Corps"/>
      </w:pPr>
      <w:r>
        <w:rPr>
          <w:lang w:val="de-DE"/>
        </w:rPr>
        <w:t>Monsieur le Juge,</w:t>
      </w:r>
    </w:p>
    <w:p w14:paraId="6AD6EF71" w14:textId="77777777" w:rsidR="00190904" w:rsidRDefault="00190904">
      <w:pPr>
        <w:pStyle w:val="Corps"/>
      </w:pPr>
    </w:p>
    <w:p w14:paraId="52ACB7EA" w14:textId="77777777" w:rsidR="00190904" w:rsidRDefault="00190904">
      <w:pPr>
        <w:pStyle w:val="Corps"/>
      </w:pPr>
    </w:p>
    <w:p w14:paraId="47185B35" w14:textId="6B141FF5" w:rsidR="00190904" w:rsidRDefault="00C62DF1">
      <w:pPr>
        <w:pStyle w:val="Corps"/>
      </w:pPr>
      <w:r>
        <w:t xml:space="preserve">Je reviens vers vous en qualité de conseil de </w:t>
      </w:r>
      <w:r w:rsidR="0069221A">
        <w:t>xxxxx</w:t>
      </w:r>
      <w:r>
        <w:t xml:space="preserve">, né le </w:t>
      </w:r>
      <w:r w:rsidR="0069221A">
        <w:t>jour/mois/année</w:t>
      </w:r>
      <w:r>
        <w:t xml:space="preserve"> à </w:t>
      </w:r>
      <w:r w:rsidR="0069221A">
        <w:t>Ville</w:t>
      </w:r>
      <w:r>
        <w:t xml:space="preserve"> (</w:t>
      </w:r>
      <w:r w:rsidR="0069221A">
        <w:t>PAYS</w:t>
      </w:r>
      <w:r>
        <w:t xml:space="preserve">) et fais suite à l’audience du </w:t>
      </w:r>
      <w:r w:rsidR="0069221A">
        <w:t>jour/mois/année</w:t>
      </w:r>
      <w:r>
        <w:t xml:space="preserve"> en votre cabinet</w:t>
      </w:r>
      <w:r w:rsidR="0069221A">
        <w:t xml:space="preserve"> / à la requête adressée au tribunal pour enfants le jour/mois/année et réceptionnée le jour/mois/année par les services du greffe. </w:t>
      </w:r>
    </w:p>
    <w:p w14:paraId="0C6FD9DF" w14:textId="77777777" w:rsidR="00190904" w:rsidRDefault="00190904">
      <w:pPr>
        <w:pStyle w:val="Corps"/>
      </w:pPr>
    </w:p>
    <w:p w14:paraId="3A05FCC7" w14:textId="266F645F" w:rsidR="00190904" w:rsidRDefault="00C62DF1">
      <w:pPr>
        <w:pStyle w:val="Corps"/>
        <w:rPr>
          <w:rFonts w:ascii="Segoe UI" w:eastAsia="Segoe UI" w:hAnsi="Segoe UI" w:cs="Segoe UI"/>
        </w:rPr>
      </w:pPr>
      <w:r>
        <w:t>Pour mémoire, Monsieur</w:t>
      </w:r>
      <w:r>
        <w:t xml:space="preserve"> </w:t>
      </w:r>
      <w:r w:rsidR="0069221A">
        <w:t>xxxxx</w:t>
      </w:r>
      <w:r>
        <w:t xml:space="preserve"> est arrivé en France en </w:t>
      </w:r>
      <w:r w:rsidR="0069221A">
        <w:t>xxxxx</w:t>
      </w:r>
      <w:r>
        <w:t xml:space="preserve">. Il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est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sent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au </w:t>
      </w:r>
      <w:r w:rsidR="0069221A">
        <w:rPr>
          <w:rFonts w:ascii="Segoe UI" w:eastAsia="Segoe UI" w:hAnsi="Segoe UI" w:cs="Segoe UI"/>
        </w:rPr>
        <w:t>[</w:t>
      </w:r>
      <w:r w:rsidR="00D33364">
        <w:rPr>
          <w:rFonts w:ascii="Segoe UI" w:eastAsia="Segoe UI" w:hAnsi="Segoe UI" w:cs="Segoe UI"/>
        </w:rPr>
        <w:t xml:space="preserve">nom du </w:t>
      </w:r>
      <w:r w:rsidR="0069221A">
        <w:rPr>
          <w:rFonts w:ascii="Segoe UI" w:eastAsia="Segoe UI" w:hAnsi="Segoe UI" w:cs="Segoe UI"/>
        </w:rPr>
        <w:t>d</w:t>
      </w:r>
      <w:r w:rsidR="00D33364">
        <w:rPr>
          <w:rFonts w:ascii="Segoe UI" w:eastAsia="Segoe UI" w:hAnsi="Segoe UI" w:cs="Segoe UI"/>
        </w:rPr>
        <w:t>ispositif d’évaluation de minorité et d’isolement]</w:t>
      </w:r>
      <w:r>
        <w:rPr>
          <w:rFonts w:ascii="Segoe UI" w:eastAsia="Segoe UI" w:hAnsi="Segoe UI" w:cs="Segoe UI"/>
        </w:rPr>
        <w:t xml:space="preserve"> afin de b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ficier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une prise en charge en tant que mineur priv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finitivement de la protection de sa famille,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savoir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 accueil provisoire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urgence et dans ce cadre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une pro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dure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valuation de minorit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et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isolement, conform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ment aux dispositions des art. L223-2 et R222-1 du CASF ainsi que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du 20 novembre 2019 NOR : SSAA1920987A. </w:t>
      </w:r>
    </w:p>
    <w:p w14:paraId="12BF440C" w14:textId="77777777" w:rsidR="00190904" w:rsidRDefault="00190904">
      <w:pPr>
        <w:pStyle w:val="Corps"/>
        <w:rPr>
          <w:rFonts w:ascii="Segoe UI" w:eastAsia="Segoe UI" w:hAnsi="Segoe UI" w:cs="Segoe UI"/>
        </w:rPr>
      </w:pPr>
    </w:p>
    <w:p w14:paraId="4EA24D76" w14:textId="4955481F" w:rsidR="00190904" w:rsidRDefault="00C62DF1">
      <w:pPr>
        <w:pStyle w:val="Corps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Par une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 administrative provisoire de refus de prise en charge, dat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e du </w:t>
      </w:r>
      <w:r w:rsidR="00D33364">
        <w:rPr>
          <w:rFonts w:ascii="Segoe UI" w:eastAsia="Segoe UI" w:hAnsi="Segoe UI" w:cs="Segoe UI"/>
        </w:rPr>
        <w:t>jour/mois/année,</w:t>
      </w:r>
      <w:r>
        <w:rPr>
          <w:rFonts w:ascii="Segoe UI" w:eastAsia="Segoe UI" w:hAnsi="Segoe UI" w:cs="Segoe UI"/>
        </w:rPr>
        <w:t xml:space="preserve"> le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sident du Conseil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partemental de </w:t>
      </w:r>
      <w:r w:rsidR="00D33364">
        <w:rPr>
          <w:rFonts w:ascii="Segoe UI" w:eastAsia="Segoe UI" w:hAnsi="Segoe UI" w:cs="Segoe UI"/>
        </w:rPr>
        <w:t>xxxxx</w:t>
      </w:r>
      <w:r>
        <w:rPr>
          <w:rFonts w:ascii="Segoe UI" w:eastAsia="Segoe UI" w:hAnsi="Segoe UI" w:cs="Segoe UI"/>
        </w:rPr>
        <w:t xml:space="preserve"> a refus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admettre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aide sociale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enfance Monsieur </w:t>
      </w:r>
      <w:r w:rsidR="00D33364">
        <w:rPr>
          <w:rFonts w:ascii="Segoe UI" w:eastAsia="Segoe UI" w:hAnsi="Segoe UI" w:cs="Segoe UI"/>
        </w:rPr>
        <w:t>xxxxxxxxxx</w:t>
      </w:r>
      <w:r>
        <w:rPr>
          <w:rFonts w:ascii="Segoe UI" w:eastAsia="Segoe UI" w:hAnsi="Segoe UI" w:cs="Segoe UI"/>
        </w:rPr>
        <w:t>.</w:t>
      </w:r>
    </w:p>
    <w:p w14:paraId="43827E2F" w14:textId="77777777" w:rsidR="00190904" w:rsidRDefault="00190904">
      <w:pPr>
        <w:pStyle w:val="Corps"/>
        <w:rPr>
          <w:rFonts w:ascii="Segoe UI" w:eastAsia="Segoe UI" w:hAnsi="Segoe UI" w:cs="Segoe UI"/>
        </w:rPr>
      </w:pPr>
    </w:p>
    <w:p w14:paraId="002FB482" w14:textId="3857BBD6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En vertu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375 du code civil et de la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 du Conseil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Etat du 1er juillet 2015,</w:t>
      </w:r>
      <w:r>
        <w:rPr>
          <w:rFonts w:ascii="Segoe UI" w:eastAsia="Segoe UI" w:hAnsi="Segoe UI" w:cs="Segoe UI"/>
        </w:rPr>
        <w:t xml:space="preserve"> Monsieur </w:t>
      </w:r>
      <w:r w:rsidR="00D33364">
        <w:rPr>
          <w:rFonts w:ascii="Segoe UI" w:eastAsia="Segoe UI" w:hAnsi="Segoe UI" w:cs="Segoe UI"/>
        </w:rPr>
        <w:t>xxxxxxxxxxx</w:t>
      </w:r>
      <w:r>
        <w:rPr>
          <w:rFonts w:ascii="Segoe UI" w:eastAsia="Segoe UI" w:hAnsi="Segoe UI" w:cs="Segoe UI"/>
        </w:rPr>
        <w:t xml:space="preserve"> vous a saisi de sa situation le </w:t>
      </w:r>
      <w:r w:rsidR="00D33364">
        <w:rPr>
          <w:rFonts w:ascii="Segoe UI" w:eastAsia="Segoe UI" w:hAnsi="Segoe UI" w:cs="Segoe UI"/>
        </w:rPr>
        <w:t>jour/mois/année</w:t>
      </w:r>
      <w:r>
        <w:rPr>
          <w:rFonts w:ascii="Segoe UI" w:eastAsia="Segoe UI" w:hAnsi="Segoe UI" w:cs="Segoe UI"/>
        </w:rPr>
        <w:t xml:space="preserve">, </w:t>
      </w:r>
      <w:r w:rsidRPr="004B6366">
        <w:rPr>
          <w:rFonts w:ascii="Segoe UI" w:eastAsia="Segoe UI" w:hAnsi="Segoe UI" w:cs="Segoe UI"/>
          <w:highlight w:val="yellow"/>
        </w:rPr>
        <w:t>par l</w:t>
      </w:r>
      <w:r w:rsidRPr="004B6366">
        <w:rPr>
          <w:rFonts w:ascii="Segoe UI" w:eastAsia="Segoe UI" w:hAnsi="Segoe UI" w:cs="Segoe UI"/>
          <w:highlight w:val="yellow"/>
        </w:rPr>
        <w:t>’</w:t>
      </w:r>
      <w:r w:rsidRPr="004B6366">
        <w:rPr>
          <w:rFonts w:ascii="Segoe UI" w:eastAsia="Segoe UI" w:hAnsi="Segoe UI" w:cs="Segoe UI"/>
          <w:highlight w:val="yellow"/>
        </w:rPr>
        <w:t>interm</w:t>
      </w:r>
      <w:r w:rsidRPr="004B6366">
        <w:rPr>
          <w:rFonts w:ascii="Segoe UI" w:eastAsia="Segoe UI" w:hAnsi="Segoe UI" w:cs="Segoe UI"/>
          <w:highlight w:val="yellow"/>
        </w:rPr>
        <w:t>é</w:t>
      </w:r>
      <w:r w:rsidRPr="004B6366">
        <w:rPr>
          <w:rFonts w:ascii="Segoe UI" w:eastAsia="Segoe UI" w:hAnsi="Segoe UI" w:cs="Segoe UI"/>
          <w:highlight w:val="yellow"/>
        </w:rPr>
        <w:t>diaire de son conseil</w:t>
      </w:r>
      <w:r>
        <w:rPr>
          <w:rFonts w:ascii="Segoe UI" w:eastAsia="Segoe UI" w:hAnsi="Segoe UI" w:cs="Segoe UI"/>
        </w:rPr>
        <w:t xml:space="preserve">, afin que soit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tablie sa minorit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et qu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il soit plac</w:t>
      </w:r>
      <w:r>
        <w:rPr>
          <w:rFonts w:ascii="Segoe UI" w:eastAsia="Segoe UI" w:hAnsi="Segoe UI" w:cs="Segoe UI"/>
        </w:rPr>
        <w:t xml:space="preserve">é 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aide sociale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enfance. </w:t>
      </w:r>
    </w:p>
    <w:p w14:paraId="412C9420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63B729B" w14:textId="1E4C82CD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 w:rsidRPr="004B6366">
        <w:rPr>
          <w:rFonts w:ascii="Segoe UI" w:eastAsia="Segoe UI" w:hAnsi="Segoe UI" w:cs="Segoe UI"/>
          <w:highlight w:val="yellow"/>
        </w:rPr>
        <w:t xml:space="preserve">Le </w:t>
      </w:r>
      <w:r w:rsidR="004B6366" w:rsidRPr="004B6366">
        <w:rPr>
          <w:rFonts w:ascii="Segoe UI" w:eastAsia="Segoe UI" w:hAnsi="Segoe UI" w:cs="Segoe UI"/>
          <w:highlight w:val="yellow"/>
        </w:rPr>
        <w:t>jour/mois/année</w:t>
      </w:r>
      <w:r w:rsidRPr="004B6366">
        <w:rPr>
          <w:rFonts w:ascii="Segoe UI" w:eastAsia="Segoe UI" w:hAnsi="Segoe UI" w:cs="Segoe UI"/>
          <w:highlight w:val="yellow"/>
        </w:rPr>
        <w:t>, une audience s</w:t>
      </w:r>
      <w:r w:rsidRPr="004B6366">
        <w:rPr>
          <w:rFonts w:ascii="Segoe UI" w:eastAsia="Segoe UI" w:hAnsi="Segoe UI" w:cs="Segoe UI"/>
          <w:highlight w:val="yellow"/>
        </w:rPr>
        <w:t>’</w:t>
      </w:r>
      <w:r w:rsidRPr="004B6366">
        <w:rPr>
          <w:rFonts w:ascii="Segoe UI" w:eastAsia="Segoe UI" w:hAnsi="Segoe UI" w:cs="Segoe UI"/>
          <w:highlight w:val="yellow"/>
        </w:rPr>
        <w:t xml:space="preserve">est tenue, </w:t>
      </w:r>
      <w:r w:rsidRPr="004B6366">
        <w:rPr>
          <w:rFonts w:ascii="Segoe UI" w:eastAsia="Segoe UI" w:hAnsi="Segoe UI" w:cs="Segoe UI"/>
          <w:highlight w:val="yellow"/>
        </w:rPr>
        <w:t xml:space="preserve">à </w:t>
      </w:r>
      <w:r w:rsidRPr="004B6366">
        <w:rPr>
          <w:rFonts w:ascii="Segoe UI" w:eastAsia="Segoe UI" w:hAnsi="Segoe UI" w:cs="Segoe UI"/>
          <w:highlight w:val="yellow"/>
        </w:rPr>
        <w:t>l</w:t>
      </w:r>
      <w:r w:rsidRPr="004B6366">
        <w:rPr>
          <w:rFonts w:ascii="Segoe UI" w:eastAsia="Segoe UI" w:hAnsi="Segoe UI" w:cs="Segoe UI"/>
          <w:highlight w:val="yellow"/>
        </w:rPr>
        <w:t>’</w:t>
      </w:r>
      <w:r w:rsidRPr="004B6366">
        <w:rPr>
          <w:rFonts w:ascii="Segoe UI" w:eastAsia="Segoe UI" w:hAnsi="Segoe UI" w:cs="Segoe UI"/>
          <w:highlight w:val="yellow"/>
        </w:rPr>
        <w:t xml:space="preserve">issue de laquelle </w:t>
      </w:r>
      <w:r w:rsidRPr="004B6366">
        <w:rPr>
          <w:rFonts w:ascii="Segoe UI" w:eastAsia="Segoe UI" w:hAnsi="Segoe UI" w:cs="Segoe UI"/>
          <w:highlight w:val="yellow"/>
        </w:rPr>
        <w:t xml:space="preserve">il a </w:t>
      </w:r>
      <w:r w:rsidRPr="004B6366">
        <w:rPr>
          <w:rFonts w:ascii="Segoe UI" w:eastAsia="Segoe UI" w:hAnsi="Segoe UI" w:cs="Segoe UI"/>
          <w:highlight w:val="yellow"/>
        </w:rPr>
        <w:t>é</w:t>
      </w:r>
      <w:r w:rsidRPr="004B6366">
        <w:rPr>
          <w:rFonts w:ascii="Segoe UI" w:eastAsia="Segoe UI" w:hAnsi="Segoe UI" w:cs="Segoe UI"/>
          <w:highlight w:val="yellow"/>
        </w:rPr>
        <w:t>t</w:t>
      </w:r>
      <w:r w:rsidRPr="004B6366">
        <w:rPr>
          <w:rFonts w:ascii="Segoe UI" w:eastAsia="Segoe UI" w:hAnsi="Segoe UI" w:cs="Segoe UI"/>
          <w:highlight w:val="yellow"/>
        </w:rPr>
        <w:t xml:space="preserve">é </w:t>
      </w:r>
      <w:r w:rsidRPr="004B6366">
        <w:rPr>
          <w:rFonts w:ascii="Segoe UI" w:eastAsia="Segoe UI" w:hAnsi="Segoe UI" w:cs="Segoe UI"/>
          <w:highlight w:val="yellow"/>
        </w:rPr>
        <w:t xml:space="preserve">sursis </w:t>
      </w:r>
      <w:r w:rsidRPr="004B6366">
        <w:rPr>
          <w:rFonts w:ascii="Segoe UI" w:eastAsia="Segoe UI" w:hAnsi="Segoe UI" w:cs="Segoe UI"/>
          <w:highlight w:val="yellow"/>
        </w:rPr>
        <w:t xml:space="preserve">à </w:t>
      </w:r>
      <w:r w:rsidRPr="004B6366">
        <w:rPr>
          <w:rFonts w:ascii="Segoe UI" w:eastAsia="Segoe UI" w:hAnsi="Segoe UI" w:cs="Segoe UI"/>
          <w:highlight w:val="yellow"/>
        </w:rPr>
        <w:t xml:space="preserve">statuer sur la demande de placement de Monsieur </w:t>
      </w:r>
      <w:r w:rsidR="004B6366" w:rsidRPr="004B6366">
        <w:rPr>
          <w:rFonts w:ascii="Segoe UI" w:eastAsia="Segoe UI" w:hAnsi="Segoe UI" w:cs="Segoe UI"/>
          <w:highlight w:val="yellow"/>
        </w:rPr>
        <w:t>xxxxx</w:t>
      </w:r>
      <w:r w:rsidRPr="004B6366">
        <w:rPr>
          <w:rFonts w:ascii="Segoe UI" w:eastAsia="Segoe UI" w:hAnsi="Segoe UI" w:cs="Segoe UI"/>
          <w:highlight w:val="yellow"/>
        </w:rPr>
        <w:t xml:space="preserve"> et une expertise osseuse a </w:t>
      </w:r>
      <w:r w:rsidRPr="004B6366">
        <w:rPr>
          <w:rFonts w:ascii="Segoe UI" w:eastAsia="Segoe UI" w:hAnsi="Segoe UI" w:cs="Segoe UI"/>
          <w:highlight w:val="yellow"/>
        </w:rPr>
        <w:t>é</w:t>
      </w:r>
      <w:r w:rsidRPr="004B6366">
        <w:rPr>
          <w:rFonts w:ascii="Segoe UI" w:eastAsia="Segoe UI" w:hAnsi="Segoe UI" w:cs="Segoe UI"/>
          <w:highlight w:val="yellow"/>
        </w:rPr>
        <w:t>t</w:t>
      </w:r>
      <w:r w:rsidRPr="004B6366">
        <w:rPr>
          <w:rFonts w:ascii="Segoe UI" w:eastAsia="Segoe UI" w:hAnsi="Segoe UI" w:cs="Segoe UI"/>
          <w:highlight w:val="yellow"/>
        </w:rPr>
        <w:t xml:space="preserve">é </w:t>
      </w:r>
      <w:r w:rsidRPr="004B6366">
        <w:rPr>
          <w:rFonts w:ascii="Segoe UI" w:eastAsia="Segoe UI" w:hAnsi="Segoe UI" w:cs="Segoe UI"/>
          <w:highlight w:val="yellow"/>
        </w:rPr>
        <w:t>ordonn</w:t>
      </w:r>
      <w:r w:rsidRPr="004B6366">
        <w:rPr>
          <w:rFonts w:ascii="Segoe UI" w:eastAsia="Segoe UI" w:hAnsi="Segoe UI" w:cs="Segoe UI"/>
          <w:highlight w:val="yellow"/>
        </w:rPr>
        <w:t>é</w:t>
      </w:r>
      <w:r w:rsidRPr="004B6366">
        <w:rPr>
          <w:rFonts w:ascii="Segoe UI" w:eastAsia="Segoe UI" w:hAnsi="Segoe UI" w:cs="Segoe UI"/>
          <w:highlight w:val="yellow"/>
        </w:rPr>
        <w:t>e.</w:t>
      </w:r>
    </w:p>
    <w:p w14:paraId="11A88A84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71E41371" w14:textId="14120AD3" w:rsidR="00190904" w:rsidRDefault="004B6366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Aucun placement provisoire n’a été ordonné à ce jour. </w:t>
      </w:r>
    </w:p>
    <w:p w14:paraId="55CACBD5" w14:textId="256B84D0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est la raison pour laquelle, compte tenu du contexte sanitaire actuel</w:t>
      </w:r>
      <w:r w:rsidR="004B6366">
        <w:rPr>
          <w:rFonts w:ascii="Segoe UI" w:eastAsia="Segoe UI" w:hAnsi="Segoe UI" w:cs="Segoe UI"/>
        </w:rPr>
        <w:t xml:space="preserve"> d’épidémie de COVID 19</w:t>
      </w:r>
      <w:r>
        <w:rPr>
          <w:rFonts w:ascii="Segoe UI" w:eastAsia="Segoe UI" w:hAnsi="Segoe UI" w:cs="Segoe UI"/>
        </w:rPr>
        <w:t xml:space="preserve">, des conditions de vie actuelles de Monsieur </w:t>
      </w:r>
      <w:r w:rsidR="004B6366">
        <w:rPr>
          <w:rFonts w:ascii="Segoe UI" w:eastAsia="Segoe UI" w:hAnsi="Segoe UI" w:cs="Segoe UI"/>
        </w:rPr>
        <w:t>xxxxx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  <w:b/>
          <w:bCs/>
        </w:rPr>
        <w:t>je vous saisis afin que soient ordonn</w:t>
      </w:r>
      <w:r>
        <w:rPr>
          <w:rFonts w:ascii="Segoe UI" w:eastAsia="Segoe UI" w:hAnsi="Segoe UI" w:cs="Segoe UI"/>
          <w:b/>
          <w:bCs/>
        </w:rPr>
        <w:t>é</w:t>
      </w:r>
      <w:r>
        <w:rPr>
          <w:rFonts w:ascii="Segoe UI" w:eastAsia="Segoe UI" w:hAnsi="Segoe UI" w:cs="Segoe UI"/>
          <w:b/>
          <w:bCs/>
        </w:rPr>
        <w:t>es sans d</w:t>
      </w:r>
      <w:r>
        <w:rPr>
          <w:rFonts w:ascii="Segoe UI" w:eastAsia="Segoe UI" w:hAnsi="Segoe UI" w:cs="Segoe UI"/>
          <w:b/>
          <w:bCs/>
        </w:rPr>
        <w:t>é</w:t>
      </w:r>
      <w:r>
        <w:rPr>
          <w:rFonts w:ascii="Segoe UI" w:eastAsia="Segoe UI" w:hAnsi="Segoe UI" w:cs="Segoe UI"/>
          <w:b/>
          <w:bCs/>
        </w:rPr>
        <w:t>lai des mesures provisoires en application de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article 375-5 du code civil le temps que la d</w:t>
      </w:r>
      <w:r>
        <w:rPr>
          <w:rFonts w:ascii="Segoe UI" w:eastAsia="Segoe UI" w:hAnsi="Segoe UI" w:cs="Segoe UI"/>
          <w:b/>
          <w:bCs/>
        </w:rPr>
        <w:t>é</w:t>
      </w:r>
      <w:r>
        <w:rPr>
          <w:rFonts w:ascii="Segoe UI" w:eastAsia="Segoe UI" w:hAnsi="Segoe UI" w:cs="Segoe UI"/>
          <w:b/>
          <w:bCs/>
        </w:rPr>
        <w:t>cision sur le fond intervienne, afin que Monsi</w:t>
      </w:r>
      <w:r>
        <w:rPr>
          <w:rFonts w:ascii="Segoe UI" w:eastAsia="Segoe UI" w:hAnsi="Segoe UI" w:cs="Segoe UI"/>
          <w:b/>
          <w:bCs/>
        </w:rPr>
        <w:t xml:space="preserve">eur </w:t>
      </w:r>
      <w:r w:rsidR="004B6366">
        <w:rPr>
          <w:rFonts w:ascii="Segoe UI" w:eastAsia="Segoe UI" w:hAnsi="Segoe UI" w:cs="Segoe UI"/>
          <w:b/>
          <w:bCs/>
        </w:rPr>
        <w:t>xxxxx</w:t>
      </w:r>
      <w:r>
        <w:rPr>
          <w:rFonts w:ascii="Segoe UI" w:eastAsia="Segoe UI" w:hAnsi="Segoe UI" w:cs="Segoe UI"/>
          <w:b/>
          <w:bCs/>
        </w:rPr>
        <w:t xml:space="preserve"> soit confi</w:t>
      </w:r>
      <w:r>
        <w:rPr>
          <w:rFonts w:ascii="Segoe UI" w:eastAsia="Segoe UI" w:hAnsi="Segoe UI" w:cs="Segoe UI"/>
          <w:b/>
          <w:bCs/>
        </w:rPr>
        <w:t xml:space="preserve">é </w:t>
      </w:r>
      <w:r>
        <w:rPr>
          <w:rFonts w:ascii="Segoe UI" w:eastAsia="Segoe UI" w:hAnsi="Segoe UI" w:cs="Segoe UI"/>
          <w:b/>
          <w:bCs/>
        </w:rPr>
        <w:t>imm</w:t>
      </w:r>
      <w:r>
        <w:rPr>
          <w:rFonts w:ascii="Segoe UI" w:eastAsia="Segoe UI" w:hAnsi="Segoe UI" w:cs="Segoe UI"/>
          <w:b/>
          <w:bCs/>
        </w:rPr>
        <w:t>é</w:t>
      </w:r>
      <w:r>
        <w:rPr>
          <w:rFonts w:ascii="Segoe UI" w:eastAsia="Segoe UI" w:hAnsi="Segoe UI" w:cs="Segoe UI"/>
          <w:b/>
          <w:bCs/>
        </w:rPr>
        <w:t xml:space="preserve">diatement </w:t>
      </w:r>
      <w:r>
        <w:rPr>
          <w:rFonts w:ascii="Segoe UI" w:eastAsia="Segoe UI" w:hAnsi="Segoe UI" w:cs="Segoe UI"/>
          <w:b/>
          <w:bCs/>
        </w:rPr>
        <w:t xml:space="preserve">à </w:t>
      </w:r>
      <w:r>
        <w:rPr>
          <w:rFonts w:ascii="Segoe UI" w:eastAsia="Segoe UI" w:hAnsi="Segoe UI" w:cs="Segoe UI"/>
          <w:b/>
          <w:bCs/>
        </w:rPr>
        <w:t>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 xml:space="preserve">aide sociale </w:t>
      </w:r>
      <w:r>
        <w:rPr>
          <w:rFonts w:ascii="Segoe UI" w:eastAsia="Segoe UI" w:hAnsi="Segoe UI" w:cs="Segoe UI"/>
          <w:b/>
          <w:bCs/>
        </w:rPr>
        <w:t xml:space="preserve">à </w:t>
      </w:r>
      <w:r>
        <w:rPr>
          <w:rFonts w:ascii="Segoe UI" w:eastAsia="Segoe UI" w:hAnsi="Segoe UI" w:cs="Segoe UI"/>
          <w:b/>
          <w:bCs/>
        </w:rPr>
        <w:t>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 xml:space="preserve">enfance de </w:t>
      </w:r>
      <w:r w:rsidR="004B6366">
        <w:rPr>
          <w:rFonts w:ascii="Segoe UI" w:eastAsia="Segoe UI" w:hAnsi="Segoe UI" w:cs="Segoe UI"/>
          <w:b/>
          <w:bCs/>
        </w:rPr>
        <w:t>xxxxx</w:t>
      </w:r>
    </w:p>
    <w:p w14:paraId="5FFA85DD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  <w:b/>
          <w:bCs/>
        </w:rPr>
      </w:pPr>
    </w:p>
    <w:p w14:paraId="28EE672C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5CF8CE70" w14:textId="77777777" w:rsidR="00190904" w:rsidRDefault="00C62DF1">
      <w:pPr>
        <w:pStyle w:val="Corps"/>
        <w:widowControl w:val="0"/>
        <w:numPr>
          <w:ilvl w:val="0"/>
          <w:numId w:val="2"/>
        </w:numPr>
        <w:rPr>
          <w:b/>
          <w:bCs/>
          <w:u w:val="single"/>
        </w:rPr>
      </w:pPr>
      <w:r>
        <w:rPr>
          <w:rFonts w:ascii="Segoe UI" w:eastAsia="Segoe UI" w:hAnsi="Segoe UI" w:cs="Segoe UI"/>
          <w:b/>
          <w:bCs/>
          <w:u w:val="single"/>
        </w:rPr>
        <w:t xml:space="preserve">Sur le contexte sanitaire </w:t>
      </w:r>
    </w:p>
    <w:p w14:paraId="50147527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3BDF4A89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Le 31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cembre 2019, le bureau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OMS en Chine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tait inform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que des cas de pneumonie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 xml:space="preserve">tiologie inconnue avaient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tect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s dans la ville de Wuhan, dans la province du Hubei, en Chine. Au 3 janvier 2020, 44 patients atteints de pneumonie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taient signal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s, sans que la cause de cette affection f</w:t>
      </w:r>
      <w:r>
        <w:rPr>
          <w:rFonts w:ascii="Segoe UI" w:eastAsia="Segoe UI" w:hAnsi="Segoe UI" w:cs="Segoe UI"/>
        </w:rPr>
        <w:t>û</w:t>
      </w:r>
      <w:r>
        <w:rPr>
          <w:rFonts w:ascii="Segoe UI" w:eastAsia="Segoe UI" w:hAnsi="Segoe UI" w:cs="Segoe UI"/>
        </w:rPr>
        <w:t>t identifi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e. Le 9 janvier 2020, ce nouveau virus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mergent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tait identifi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OM</w:t>
      </w:r>
      <w:r>
        <w:rPr>
          <w:rFonts w:ascii="Segoe UI" w:eastAsia="Segoe UI" w:hAnsi="Segoe UI" w:cs="Segoe UI"/>
        </w:rPr>
        <w:t>S comme responsable des cas group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de pneumopathies constat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en Chine.  Il s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agissait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 coronavirus, temporairement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sign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OMS sous le nom de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</w:rPr>
        <w:t xml:space="preserve">virus 2019-nCoV </w:t>
      </w:r>
      <w:r>
        <w:rPr>
          <w:rFonts w:ascii="Segoe UI" w:eastAsia="Segoe UI" w:hAnsi="Segoe UI" w:cs="Segoe UI"/>
        </w:rPr>
        <w:t>»</w:t>
      </w:r>
      <w:r>
        <w:rPr>
          <w:rFonts w:ascii="Segoe UI" w:eastAsia="Segoe UI" w:hAnsi="Segoe UI" w:cs="Segoe UI"/>
        </w:rPr>
        <w:t>, puis le 11 f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vrier 2020 officiellement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sign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OMS sous le nom de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</w:rPr>
        <w:t>SARS- C</w:t>
      </w:r>
      <w:r>
        <w:rPr>
          <w:rFonts w:ascii="Segoe UI" w:eastAsia="Segoe UI" w:hAnsi="Segoe UI" w:cs="Segoe UI"/>
        </w:rPr>
        <w:t xml:space="preserve">oV-2 </w:t>
      </w:r>
      <w:r>
        <w:rPr>
          <w:rFonts w:ascii="Segoe UI" w:eastAsia="Segoe UI" w:hAnsi="Segoe UI" w:cs="Segoe UI"/>
        </w:rPr>
        <w:t>»</w:t>
      </w:r>
      <w:r>
        <w:rPr>
          <w:rFonts w:ascii="Segoe UI" w:eastAsia="Segoe UI" w:hAnsi="Segoe UI" w:cs="Segoe UI"/>
        </w:rPr>
        <w:t xml:space="preserve">, coronavirus responsable de la maladie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</w:rPr>
        <w:t xml:space="preserve">COVID-19 </w:t>
      </w:r>
      <w:r>
        <w:rPr>
          <w:rFonts w:ascii="Segoe UI" w:eastAsia="Segoe UI" w:hAnsi="Segoe UI" w:cs="Segoe UI"/>
        </w:rPr>
        <w:t>»</w:t>
      </w:r>
      <w:r>
        <w:rPr>
          <w:rFonts w:ascii="Segoe UI" w:eastAsia="Segoe UI" w:hAnsi="Segoe UI" w:cs="Segoe UI"/>
        </w:rPr>
        <w:t xml:space="preserve">, pour maladie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coronavirus de 2019.</w:t>
      </w:r>
    </w:p>
    <w:p w14:paraId="003B3CC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7B97F51C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Le syst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me de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fran</w:t>
      </w:r>
      <w:r>
        <w:rPr>
          <w:rFonts w:ascii="Segoe UI" w:eastAsia="Segoe UI" w:hAnsi="Segoe UI" w:cs="Segoe UI"/>
        </w:rPr>
        <w:t>ç</w:t>
      </w:r>
      <w:r>
        <w:rPr>
          <w:rFonts w:ascii="Segoe UI" w:eastAsia="Segoe UI" w:hAnsi="Segoe UI" w:cs="Segoe UI"/>
        </w:rPr>
        <w:t xml:space="preserve">ais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tait mis en alerte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partir du 10 janvier 2020. Le 30 janvier 2020, au regard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ampleur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mie,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OMS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clarait que cel</w:t>
      </w:r>
      <w:r>
        <w:rPr>
          <w:rFonts w:ascii="Segoe UI" w:eastAsia="Segoe UI" w:hAnsi="Segoe UI" w:cs="Segoe UI"/>
        </w:rPr>
        <w:t>le-ci constituait une Urgence de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Publique de Port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Internationale (USPPI). En effet,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importation de cas de COVID- 19 depuis la Chine dans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autres pays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tait observ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d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s le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but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mie a</w:t>
      </w:r>
      <w:r>
        <w:rPr>
          <w:rFonts w:ascii="Segoe UI" w:eastAsia="Segoe UI" w:hAnsi="Segoe UI" w:cs="Segoe UI"/>
        </w:rPr>
        <w:t xml:space="preserve">̀ </w:t>
      </w:r>
      <w:r>
        <w:rPr>
          <w:rFonts w:ascii="Segoe UI" w:eastAsia="Segoe UI" w:hAnsi="Segoe UI" w:cs="Segoe UI"/>
        </w:rPr>
        <w:t>Wuhan, et s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intensifiait ensuite.</w:t>
      </w:r>
    </w:p>
    <w:p w14:paraId="0FA32A50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019AF996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Le 24 janvier 2020,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taient annonc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trois premiers cas de contamination en France, concernant des personnes en provenance de Wuhan en Chine.</w:t>
      </w:r>
    </w:p>
    <w:p w14:paraId="31659DA6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25DBEF3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Le pouvoir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glementaire en prenait acte d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s la fin du mois de janvier 2020 en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voyant, par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cret, des mesures</w:t>
      </w:r>
      <w:r>
        <w:rPr>
          <w:rFonts w:ascii="Segoe UI" w:eastAsia="Segoe UI" w:hAnsi="Segoe UI" w:cs="Segoe UI"/>
        </w:rPr>
        <w:t xml:space="preserve"> pour les assur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sociaux atteint du COVID19.</w:t>
      </w:r>
    </w:p>
    <w:p w14:paraId="017346DC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3E722832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la fin du mois de f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vrier, 100 personnes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taient officiellement atteintes du COVID-19.</w:t>
      </w:r>
    </w:p>
    <w:p w14:paraId="3C7CE630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E9788DF" w14:textId="445E70C6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Par diff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rents 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intervenus en le 4 mars 2020 et le 9 mars 2020, le ministre des solidarit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et de la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interdisait </w:t>
      </w:r>
      <w:r w:rsidR="008A4A83">
        <w:rPr>
          <w:rFonts w:ascii="Segoe UI" w:eastAsia="Segoe UI" w:hAnsi="Segoe UI" w:cs="Segoe UI"/>
        </w:rPr>
        <w:t>les rassemblements</w:t>
      </w:r>
      <w:r>
        <w:rPr>
          <w:rFonts w:ascii="Segoe UI" w:eastAsia="Segoe UI" w:hAnsi="Segoe UI" w:cs="Segoe UI"/>
        </w:rPr>
        <w:t xml:space="preserve"> de personnes,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abord au nombre de 5</w:t>
      </w:r>
      <w:r>
        <w:rPr>
          <w:rFonts w:ascii="Segoe UI" w:eastAsia="Segoe UI" w:hAnsi="Segoe UI" w:cs="Segoe UI"/>
        </w:rPr>
        <w:t> </w:t>
      </w:r>
      <w:r>
        <w:rPr>
          <w:rFonts w:ascii="Segoe UI" w:eastAsia="Segoe UI" w:hAnsi="Segoe UI" w:cs="Segoe UI"/>
        </w:rPr>
        <w:t>000 puis au nombre de 100, jusqu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au 15 avril 2020. </w:t>
      </w:r>
    </w:p>
    <w:p w14:paraId="366A86CA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FC1BA91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Le 14 mars 2020,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minuit, la France entrait en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</w:rPr>
        <w:t xml:space="preserve">stade 3 </w:t>
      </w:r>
      <w:r>
        <w:rPr>
          <w:rFonts w:ascii="Segoe UI" w:eastAsia="Segoe UI" w:hAnsi="Segoe UI" w:cs="Segoe UI"/>
        </w:rPr>
        <w:t xml:space="preserve">» 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mie active sur le territoire.</w:t>
      </w:r>
    </w:p>
    <w:p w14:paraId="361F1595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18BC4DA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Par 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en date du 14 mars 2020, le</w:t>
      </w:r>
      <w:r>
        <w:rPr>
          <w:rFonts w:ascii="Segoe UI" w:eastAsia="Segoe UI" w:hAnsi="Segoe UI" w:cs="Segoe UI"/>
        </w:rPr>
        <w:t xml:space="preserve"> ministre des solidarit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et de la sant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, consid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rant que le respect des 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gles de distance dans les rapports interpersonnels est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une des mesures les plus efficaces pour limiter la propagation du virus, ordonnait la fermeture des lieux accueillant du public non indispensables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la vie de la Nation tels </w:t>
      </w:r>
      <w:r>
        <w:rPr>
          <w:rFonts w:ascii="Segoe UI" w:eastAsia="Segoe UI" w:hAnsi="Segoe UI" w:cs="Segoe UI"/>
        </w:rPr>
        <w:lastRenderedPageBreak/>
        <w:t>que les cin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mas, bars ou discoth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 xml:space="preserve">ques, ainsi que des commerces,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exception de c</w:t>
      </w:r>
      <w:r>
        <w:rPr>
          <w:rFonts w:ascii="Segoe UI" w:eastAsia="Segoe UI" w:hAnsi="Segoe UI" w:cs="Segoe UI"/>
        </w:rPr>
        <w:t>eux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sentant un caract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 indispensable comme les commerces alimentaires, pharmacies, banques, stations-services ou de distribution de la presse, afin de favoriser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observation desdites 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gles de distance.</w:t>
      </w:r>
    </w:p>
    <w:p w14:paraId="4A0BC339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404D4E5A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Par 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en date du 15 mars 2020 compl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tant </w:t>
      </w:r>
      <w:r>
        <w:rPr>
          <w:rFonts w:ascii="Segoe UI" w:eastAsia="Segoe UI" w:hAnsi="Segoe UI" w:cs="Segoe UI"/>
        </w:rPr>
        <w:t>son 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du 14 mars, le ministre des solidarit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et de la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disposait que, pour ralentir la propagation du virus, les mesures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hygi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 xml:space="preserve">ne et de distanciation sociale, dites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</w:rPr>
        <w:t>barri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 xml:space="preserve">res </w:t>
      </w:r>
      <w:r>
        <w:rPr>
          <w:rFonts w:ascii="Segoe UI" w:eastAsia="Segoe UI" w:hAnsi="Segoe UI" w:cs="Segoe UI"/>
        </w:rPr>
        <w:t>»</w:t>
      </w:r>
      <w:r>
        <w:rPr>
          <w:rFonts w:ascii="Segoe UI" w:eastAsia="Segoe UI" w:hAnsi="Segoe UI" w:cs="Segoe UI"/>
        </w:rPr>
        <w:t>,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finies au niveau national, devaient 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tre observ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es en tout lie</w:t>
      </w:r>
      <w:r>
        <w:rPr>
          <w:rFonts w:ascii="Segoe UI" w:eastAsia="Segoe UI" w:hAnsi="Segoe UI" w:cs="Segoe UI"/>
        </w:rPr>
        <w:t xml:space="preserve">u et en toute circonstance. </w:t>
      </w:r>
    </w:p>
    <w:p w14:paraId="70C3BB11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FEC7C5B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Au visa des circonstances exceptionnelles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coulant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mie de covid-19, le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cret n</w:t>
      </w:r>
      <w:r>
        <w:rPr>
          <w:rFonts w:ascii="Segoe UI" w:eastAsia="Segoe UI" w:hAnsi="Segoe UI" w:cs="Segoe UI"/>
        </w:rPr>
        <w:t>°</w:t>
      </w:r>
      <w:r>
        <w:rPr>
          <w:rFonts w:ascii="Segoe UI" w:eastAsia="Segoe UI" w:hAnsi="Segoe UI" w:cs="Segoe UI"/>
        </w:rPr>
        <w:t xml:space="preserve"> 2020-260 du 16 mars 2020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glementait les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placements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ensemble de la population et contraignait celle-ci au confinement.</w:t>
      </w:r>
    </w:p>
    <w:p w14:paraId="4E6B683A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098A699E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Le 23 </w:t>
      </w:r>
      <w:r>
        <w:rPr>
          <w:rFonts w:ascii="Segoe UI" w:eastAsia="Segoe UI" w:hAnsi="Segoe UI" w:cs="Segoe UI"/>
        </w:rPr>
        <w:t xml:space="preserve">mars 2020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tait adopt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la loi instaurant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urgence sanitaire, permettant au gouvernement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agir par voie des ordonnances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article 38 de la Constitution dans de multiples domaines. </w:t>
      </w:r>
    </w:p>
    <w:p w14:paraId="1E027F22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0D3FFAF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18 de cette loi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voit qu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il ne peut 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 xml:space="preserve">tre mis fin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la prise en charge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aide sociale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enfance des mineurs, mineurs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mancip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et jeunes majeurs pendant la dur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e des mesures de confinement. </w:t>
      </w:r>
    </w:p>
    <w:p w14:paraId="4004CF97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39CA6BB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Cette disposition consacre donc la protection particuli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 des mineurs pris en charge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aide</w:t>
      </w:r>
      <w:r>
        <w:rPr>
          <w:rFonts w:ascii="Segoe UI" w:eastAsia="Segoe UI" w:hAnsi="Segoe UI" w:cs="Segoe UI"/>
        </w:rPr>
        <w:t xml:space="preserve"> sociale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enfance. </w:t>
      </w:r>
    </w:p>
    <w:p w14:paraId="7BB5035C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A4EDFCC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Le confinement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tait prolong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jusqu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 15 avril 2020 par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cret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2020-344 du 27 mars 2020. </w:t>
      </w:r>
    </w:p>
    <w:p w14:paraId="6EEC8D38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03F27DB5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A la date du 31 mars 2020, la France compte 51 128 cas de COVID-19 confirm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s. 3</w:t>
      </w:r>
      <w:r>
        <w:rPr>
          <w:rFonts w:ascii="Segoe UI" w:eastAsia="Segoe UI" w:hAnsi="Segoe UI" w:cs="Segoe UI"/>
        </w:rPr>
        <w:t> </w:t>
      </w:r>
      <w:r>
        <w:rPr>
          <w:rFonts w:ascii="Segoe UI" w:eastAsia="Segoe UI" w:hAnsi="Segoe UI" w:cs="Segoe UI"/>
        </w:rPr>
        <w:t>523 personnes sont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es depuis le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but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mie</w:t>
      </w:r>
      <w:r>
        <w:rPr>
          <w:rFonts w:ascii="Segoe UI" w:eastAsia="Segoe UI" w:hAnsi="Segoe UI" w:cs="Segoe UI"/>
        </w:rPr>
        <w:t>. 22 757 cas de COVID-19 sont actuellement hospitalis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apr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s les donn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es remont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es quotidiennement des h</w:t>
      </w:r>
      <w:r>
        <w:rPr>
          <w:rFonts w:ascii="Segoe UI" w:eastAsia="Segoe UI" w:hAnsi="Segoe UI" w:cs="Segoe UI"/>
        </w:rPr>
        <w:t>ô</w:t>
      </w:r>
      <w:r>
        <w:rPr>
          <w:rFonts w:ascii="Segoe UI" w:eastAsia="Segoe UI" w:hAnsi="Segoe UI" w:cs="Segoe UI"/>
        </w:rPr>
        <w:t>pitaux, dont 5 565 en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animation.</w:t>
      </w:r>
    </w:p>
    <w:p w14:paraId="08CD2CA6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42369001" w14:textId="76192BBA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encha</w:t>
      </w:r>
      <w:r>
        <w:rPr>
          <w:rFonts w:ascii="Segoe UI" w:eastAsia="Segoe UI" w:hAnsi="Segoe UI" w:cs="Segoe UI"/>
        </w:rPr>
        <w:t>î</w:t>
      </w:r>
      <w:r>
        <w:rPr>
          <w:rFonts w:ascii="Segoe UI" w:eastAsia="Segoe UI" w:hAnsi="Segoe UI" w:cs="Segoe UI"/>
        </w:rPr>
        <w:t>nement des mesures 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gislatives et 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glementaires, ainsi que les donn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es de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publique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montrent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actualit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aggravation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mie en France. </w:t>
      </w:r>
    </w:p>
    <w:p w14:paraId="2D4F3B1E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539BAF16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698B9E2" w14:textId="657C2011" w:rsidR="00190904" w:rsidRDefault="00C62DF1">
      <w:pPr>
        <w:pStyle w:val="Corps"/>
        <w:widowControl w:val="0"/>
        <w:numPr>
          <w:ilvl w:val="0"/>
          <w:numId w:val="2"/>
        </w:numPr>
        <w:rPr>
          <w:b/>
          <w:bCs/>
        </w:rPr>
      </w:pPr>
      <w:r>
        <w:rPr>
          <w:rFonts w:ascii="Segoe UI" w:eastAsia="Segoe UI" w:hAnsi="Segoe UI" w:cs="Segoe UI"/>
          <w:b/>
          <w:bCs/>
        </w:rPr>
        <w:t xml:space="preserve">Sur la situation actuelle de Monsieur </w:t>
      </w:r>
    </w:p>
    <w:p w14:paraId="7C1FD33D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6BF7B794" w14:textId="092C8A75" w:rsidR="00190904" w:rsidRDefault="00F9750B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t xml:space="preserve">Monsieur XXX se retrouve actuellement en situation de rue, sans prise en charge adaptée à sa condition de mineur . </w:t>
      </w:r>
    </w:p>
    <w:p w14:paraId="194AA2AD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313365D4" w14:textId="0CC85A29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t>Plus particulièrement, en cett</w:t>
      </w:r>
      <w:r>
        <w:t xml:space="preserve">e période de pandémie, aucun encadrement éducatif ne permet de s’assurer que les gestes barrière et la distanciation sociale , définis règlementairement, sont des mesures correctement comprises et appliquées. </w:t>
      </w:r>
    </w:p>
    <w:p w14:paraId="1BD63E67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0524AB5F" w14:textId="7D379E73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t>De plus, l’absence d’encadrement conduit à se</w:t>
      </w:r>
      <w:r>
        <w:t xml:space="preserve"> poser les questions suivantes : que se passe-t-il s’il développe des symptômes du COVID19 ? Peut-il alors s’isoler complètement et avoir accès à une téléconsultation ? Que se passe-t-il en cas d’insuffisance respiratoire ? </w:t>
      </w:r>
    </w:p>
    <w:p w14:paraId="6ACF0698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233CE012" w14:textId="4EDAAA0F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t xml:space="preserve">Il est bien évident qu’aucune réponse satisfaisante ne peut être apportée pour un mineur vivant sans encadrement éducatif, </w:t>
      </w:r>
      <w:r w:rsidR="00F9750B">
        <w:t xml:space="preserve">à la rue. </w:t>
      </w:r>
    </w:p>
    <w:p w14:paraId="716CC6E9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7517D792" w14:textId="78AC1746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t xml:space="preserve">Cette absence </w:t>
      </w:r>
      <w:r w:rsidR="00F9750B">
        <w:t xml:space="preserve">de prise en charge et </w:t>
      </w:r>
      <w:r>
        <w:t xml:space="preserve">d’encadrement, plus particulièrement pendant l’épidémie, est une source de danger pour Monsieur </w:t>
      </w:r>
      <w:r w:rsidR="00F9750B">
        <w:t>xxxx</w:t>
      </w:r>
      <w:r>
        <w:t xml:space="preserve">. </w:t>
      </w:r>
    </w:p>
    <w:p w14:paraId="2EB5F0D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05F09F6F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7B211FFD" w14:textId="23CF09E2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  <w:r>
        <w:t xml:space="preserve">Compte tenu de ses conditions de vie, Monsieur </w:t>
      </w:r>
      <w:r w:rsidR="004A1E78">
        <w:t>xxxx</w:t>
      </w:r>
      <w:r>
        <w:t xml:space="preserve"> est donc bien fondé à sollicit</w:t>
      </w:r>
      <w:r w:rsidR="004A1E78">
        <w:t>er</w:t>
      </w:r>
      <w:r>
        <w:t xml:space="preserve"> que des mesures provisoires soient </w:t>
      </w:r>
      <w:r>
        <w:t>prises sur le fondement de l’article 375-5 du code civil.</w:t>
      </w:r>
    </w:p>
    <w:p w14:paraId="40D535B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4E7B147C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b/>
          <w:bCs/>
        </w:rPr>
      </w:pPr>
    </w:p>
    <w:p w14:paraId="62CDB2CF" w14:textId="365329EB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b/>
          <w:bCs/>
        </w:rPr>
      </w:pPr>
      <w:r>
        <w:rPr>
          <w:b/>
          <w:bCs/>
        </w:rPr>
        <w:t xml:space="preserve">3. Sur la minorité de Monsieur </w:t>
      </w:r>
      <w:r w:rsidR="004A1E78">
        <w:rPr>
          <w:b/>
          <w:bCs/>
        </w:rPr>
        <w:t>xxxx</w:t>
      </w:r>
      <w:r>
        <w:rPr>
          <w:b/>
          <w:bCs/>
        </w:rPr>
        <w:t xml:space="preserve"> ; sur le respect du droit à l’identité et de ses composantes </w:t>
      </w:r>
      <w:r w:rsidR="004A1E78">
        <w:rPr>
          <w:b/>
          <w:bCs/>
        </w:rPr>
        <w:t>(</w:t>
      </w:r>
      <w:r w:rsidR="004A1E78" w:rsidRPr="004A1E78">
        <w:rPr>
          <w:b/>
          <w:bCs/>
          <w:highlight w:val="yellow"/>
        </w:rPr>
        <w:t>discussion si nécessaire sur élément de l’évaluation ou simplement rappeler décisions comité droits de l’enfant)</w:t>
      </w:r>
    </w:p>
    <w:p w14:paraId="0851A045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</w:pPr>
    </w:p>
    <w:p w14:paraId="3E7E2E37" w14:textId="4092F57C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t xml:space="preserve">Pour dire que Monsieur </w:t>
      </w:r>
      <w:r w:rsidR="004A1E78">
        <w:t>xxxx</w:t>
      </w:r>
      <w:r>
        <w:t xml:space="preserve"> n’était pas majeur, l</w:t>
      </w:r>
      <w:r w:rsidR="004A1E78">
        <w:t>e</w:t>
      </w:r>
      <w:r>
        <w:t xml:space="preserve"> Président du conseil départemental a reten</w:t>
      </w:r>
      <w:r>
        <w:t xml:space="preserve">u notamment </w:t>
      </w:r>
      <w:r>
        <w:rPr>
          <w:rFonts w:ascii="Segoe UI" w:eastAsia="Segoe UI" w:hAnsi="Segoe UI" w:cs="Segoe UI"/>
        </w:rPr>
        <w:t xml:space="preserve">que </w:t>
      </w:r>
      <w:r w:rsidR="004A1E78">
        <w:rPr>
          <w:rFonts w:ascii="Segoe UI" w:eastAsia="Segoe UI" w:hAnsi="Segoe UI" w:cs="Segoe UI"/>
        </w:rPr>
        <w:t>xxxxx</w:t>
      </w:r>
      <w:r>
        <w:rPr>
          <w:rFonts w:ascii="Segoe UI" w:eastAsia="Segoe UI" w:hAnsi="Segoe UI" w:cs="Segoe UI"/>
        </w:rPr>
        <w:t xml:space="preserve">. </w:t>
      </w:r>
    </w:p>
    <w:p w14:paraId="09BFC1D6" w14:textId="77777777" w:rsidR="00190904" w:rsidRDefault="00190904">
      <w:pPr>
        <w:pStyle w:val="Corps"/>
        <w:rPr>
          <w:rFonts w:ascii="Segoe UI" w:eastAsia="Segoe UI" w:hAnsi="Segoe UI" w:cs="Segoe UI"/>
        </w:rPr>
      </w:pPr>
    </w:p>
    <w:p w14:paraId="70743A1A" w14:textId="49A5E7C8" w:rsidR="00190904" w:rsidRDefault="004A1E78">
      <w:pPr>
        <w:pStyle w:val="Corps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Monsieur dispose des documents suivants : xxxx</w:t>
      </w:r>
    </w:p>
    <w:p w14:paraId="643925A4" w14:textId="68EFCD26" w:rsidR="00190904" w:rsidRDefault="00C62DF1">
      <w:pPr>
        <w:pStyle w:val="Corps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Ces docu</w:t>
      </w:r>
      <w:r>
        <w:rPr>
          <w:rFonts w:ascii="Segoe UI" w:eastAsia="Segoe UI" w:hAnsi="Segoe UI" w:cs="Segoe UI"/>
        </w:rPr>
        <w:t>ments permettent de prouver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identit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et la minorit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de Monsieur </w:t>
      </w:r>
      <w:r w:rsidR="004A1E78">
        <w:rPr>
          <w:rFonts w:ascii="Segoe UI" w:eastAsia="Segoe UI" w:hAnsi="Segoe UI" w:cs="Segoe UI"/>
        </w:rPr>
        <w:t>xxxxx</w:t>
      </w:r>
      <w:r>
        <w:rPr>
          <w:rFonts w:ascii="Segoe UI" w:eastAsia="Segoe UI" w:hAnsi="Segoe UI" w:cs="Segoe UI"/>
        </w:rPr>
        <w:t xml:space="preserve">. </w:t>
      </w:r>
    </w:p>
    <w:p w14:paraId="7F65F438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0556FAEA" w14:textId="726F64DC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Il doit donc être fait application des dispositions de l’article 47 du code civil</w:t>
      </w:r>
      <w:r>
        <w:rPr>
          <w:rFonts w:ascii="Segoe UI" w:eastAsia="Segoe UI" w:hAnsi="Segoe UI" w:cs="Segoe UI"/>
        </w:rPr>
        <w:t xml:space="preserve">. </w:t>
      </w:r>
    </w:p>
    <w:p w14:paraId="74E48C24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7EE13690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Aux termes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47 du code civil, tout acte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 xml:space="preserve">tat civil des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trangers fait en pays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tranger et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dig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dans les formes en usage dans ce pays fait foi, sauf si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autres actes ou pi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ces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tenus, des donn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es ext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rieures ou des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ments tir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acte lui-m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 xml:space="preserve">me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tablissent, le cas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ch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ant apr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s toutes v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rifications utile</w:t>
      </w:r>
      <w:r>
        <w:rPr>
          <w:rFonts w:ascii="Segoe UI" w:eastAsia="Segoe UI" w:hAnsi="Segoe UI" w:cs="Segoe UI"/>
        </w:rPr>
        <w:t>s, que cet acte est irr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gulier, falsifi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ou que les faits qui y sont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clar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s ne correspondent pas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la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alit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. </w:t>
      </w:r>
    </w:p>
    <w:p w14:paraId="20F72B53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4545D01D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De jurisprudence constante et ancienne, en mati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civil, la loi nationale est comp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tente pour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terminer la forme et le contenu des a</w:t>
      </w:r>
      <w:r>
        <w:rPr>
          <w:rFonts w:ascii="Segoe UI" w:eastAsia="Segoe UI" w:hAnsi="Segoe UI" w:cs="Segoe UI"/>
        </w:rPr>
        <w:t>ctes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civil, (voir notamment Cass civ 23 novembre 1840, CA Aix 20 mars 1862, CA Paris 2 ao</w:t>
      </w:r>
      <w:r>
        <w:rPr>
          <w:rFonts w:ascii="Segoe UI" w:eastAsia="Segoe UI" w:hAnsi="Segoe UI" w:cs="Segoe UI"/>
        </w:rPr>
        <w:t>û</w:t>
      </w:r>
      <w:r>
        <w:rPr>
          <w:rFonts w:ascii="Segoe UI" w:eastAsia="Segoe UI" w:hAnsi="Segoe UI" w:cs="Segoe UI"/>
        </w:rPr>
        <w:t>t 1876, CA Paris 25 juin 1959). Par cons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quent leurs formes ainsi que le nombre et les cat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gories de mentions que contiennent les actes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 sont fig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</w:rPr>
        <w:t xml:space="preserve"> par la loi du pays au nom duquel ils sont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tablis. </w:t>
      </w:r>
    </w:p>
    <w:p w14:paraId="224DD4E2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EECAE9B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Il incombe au juge fran</w:t>
      </w:r>
      <w:r>
        <w:rPr>
          <w:rFonts w:ascii="Segoe UI" w:eastAsia="Segoe UI" w:hAnsi="Segoe UI" w:cs="Segoe UI"/>
        </w:rPr>
        <w:t>ç</w:t>
      </w:r>
      <w:r>
        <w:rPr>
          <w:rFonts w:ascii="Segoe UI" w:eastAsia="Segoe UI" w:hAnsi="Segoe UI" w:cs="Segoe UI"/>
        </w:rPr>
        <w:t xml:space="preserve">ais qui reconnait applicable un droit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tranger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 rechercher, soit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office soit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la demande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une partie qui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invoque, la teneur, avec le concours des parties et </w:t>
      </w:r>
      <w:r>
        <w:rPr>
          <w:rFonts w:ascii="Segoe UI" w:eastAsia="Segoe UI" w:hAnsi="Segoe UI" w:cs="Segoe UI"/>
        </w:rPr>
        <w:t>personnellement s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il y a lieu et de donner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la question litigieuse une solution conforme au droit positif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tranger </w:t>
      </w:r>
      <w:r>
        <w:rPr>
          <w:rFonts w:ascii="Segoe UI" w:eastAsia="Segoe UI" w:hAnsi="Segoe UI" w:cs="Segoe UI"/>
        </w:rPr>
        <w:t xml:space="preserve">» </w:t>
      </w:r>
      <w:r>
        <w:rPr>
          <w:rFonts w:ascii="Segoe UI" w:eastAsia="Segoe UI" w:hAnsi="Segoe UI" w:cs="Segoe UI"/>
        </w:rPr>
        <w:t>(1re Civ., 28 juin 2005, pourvoi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>00-15.734, Bull. 2005, I,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>289 ; Com., 28 juin 2005, pourvoi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>02-14.686, Bull. 2005, IV,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138 ; </w:t>
      </w:r>
      <w:r>
        <w:rPr>
          <w:rFonts w:ascii="Segoe UI" w:eastAsia="Segoe UI" w:hAnsi="Segoe UI" w:cs="Segoe UI"/>
        </w:rPr>
        <w:t>(pour les deux 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ts) RCDIP 2005, p. 645, note B. Ancel et H. Muir Watt ; D. 2005, p. 2853, note N. Bouche ; D. 2005, pan. p. 2748, obs. H. Kenfack ; D. 2006, pan. p. 1495, obs. P. Courbe ; (second 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 uniquement) RTD com. 2005, p. 872, obs. Ph. Delebec</w:t>
      </w:r>
      <w:r>
        <w:rPr>
          <w:rFonts w:ascii="Segoe UI" w:eastAsia="Segoe UI" w:hAnsi="Segoe UI" w:cs="Segoe UI"/>
        </w:rPr>
        <w:t>que ; B. Ancel, Y. Lequette, Les Grands Arr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ts de la jurisprudence fran</w:t>
      </w:r>
      <w:r>
        <w:rPr>
          <w:rFonts w:ascii="Segoe UI" w:eastAsia="Segoe UI" w:hAnsi="Segoe UI" w:cs="Segoe UI"/>
        </w:rPr>
        <w:t>ç</w:t>
      </w:r>
      <w:r>
        <w:rPr>
          <w:rFonts w:ascii="Segoe UI" w:eastAsia="Segoe UI" w:hAnsi="Segoe UI" w:cs="Segoe UI"/>
        </w:rPr>
        <w:t>aise de droit international priv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, Dalloz, 5e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d., 2006,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>83).</w:t>
      </w:r>
    </w:p>
    <w:p w14:paraId="78F3353D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54E698F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La Cour de cassation a rappel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par ailleurs le pouvoir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appr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ciation souverain du juge quant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expertise documentai</w:t>
      </w:r>
      <w:r>
        <w:rPr>
          <w:rFonts w:ascii="Segoe UI" w:eastAsia="Segoe UI" w:hAnsi="Segoe UI" w:cs="Segoe UI"/>
        </w:rPr>
        <w:t>re (Civ. 1re, 23 janv. 2008,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06-13.344) ainsi que </w:t>
      </w:r>
      <w:r>
        <w:rPr>
          <w:rFonts w:ascii="Segoe UI" w:eastAsia="Segoe UI" w:hAnsi="Segoe UI" w:cs="Segoe UI"/>
        </w:rPr>
        <w:lastRenderedPageBreak/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impossibilit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pour le juge de se limiter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enqu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te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alis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par la police aux fronti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 xml:space="preserve">res pour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tablir que les actes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 xml:space="preserve">tat civil sont faux et conclure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absence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authenticit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du passeport produ</w:t>
      </w:r>
      <w:r>
        <w:rPr>
          <w:rFonts w:ascii="Segoe UI" w:eastAsia="Segoe UI" w:hAnsi="Segoe UI" w:cs="Segoe UI"/>
        </w:rPr>
        <w:t>it, sans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ciser la nature exacte des anomalies affectant les actes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 (Civ. 1re, 14 juin 2019,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18-24.747). </w:t>
      </w:r>
    </w:p>
    <w:p w14:paraId="4C346B4A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204D5A5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De plus, en cas de doute sur un document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civil, et comme le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voit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1 du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cret n</w:t>
      </w:r>
      <w:r>
        <w:rPr>
          <w:rFonts w:ascii="Segoe UI" w:eastAsia="Segoe UI" w:hAnsi="Segoe UI" w:cs="Segoe UI"/>
        </w:rPr>
        <w:t>°</w:t>
      </w:r>
      <w:r>
        <w:rPr>
          <w:rFonts w:ascii="Segoe UI" w:eastAsia="Segoe UI" w:hAnsi="Segoe UI" w:cs="Segoe UI"/>
        </w:rPr>
        <w:t>2015-1740 du 24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cembre </w:t>
      </w:r>
      <w:r>
        <w:rPr>
          <w:rFonts w:ascii="Segoe UI" w:eastAsia="Segoe UI" w:hAnsi="Segoe UI" w:cs="Segoe UI"/>
        </w:rPr>
        <w:t>2015, seule la v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rification aupr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autorit</w:t>
      </w:r>
      <w:r>
        <w:rPr>
          <w:rFonts w:ascii="Segoe UI" w:eastAsia="Segoe UI" w:hAnsi="Segoe UI" w:cs="Segoe UI"/>
        </w:rPr>
        <w:t>é é</w:t>
      </w:r>
      <w:r>
        <w:rPr>
          <w:rFonts w:ascii="Segoe UI" w:eastAsia="Segoe UI" w:hAnsi="Segoe UI" w:cs="Segoe UI"/>
        </w:rPr>
        <w:t>trang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 est susceptible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apporter des informations utiles quant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authenticit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acte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 contest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. Ainsi, une lev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acte aupr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s des autorit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trang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res comp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tentes peut permettre de v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</w:t>
      </w:r>
      <w:r>
        <w:rPr>
          <w:rFonts w:ascii="Segoe UI" w:eastAsia="Segoe UI" w:hAnsi="Segoe UI" w:cs="Segoe UI"/>
        </w:rPr>
        <w:t>fier la conformit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actes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 produits, au regard de la 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gislation locale, et donc des dispositions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47 du code civil.</w:t>
      </w:r>
    </w:p>
    <w:p w14:paraId="5E84D3A9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8B8E77E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Une approche contraire constituerait une violation du droit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identit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et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 du mineur, comme a eu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occasion de le rappeler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cemment le Comit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enfant, dans plusieurs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cisions condamnant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Etat espagnol pour </w:t>
      </w:r>
      <w:r>
        <w:rPr>
          <w:rFonts w:ascii="Segoe UI" w:eastAsia="Segoe UI" w:hAnsi="Segoe UI" w:cs="Segoe UI"/>
        </w:rPr>
        <w:t>violation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8 de la CIDE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ainsi que des articles 3 et 12. Dans ces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cisions, le Comit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enfant rappelle en effet que la date de naissance est un des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ments constitutifs du droit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identit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garanti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8 de la</w:t>
      </w:r>
      <w:r>
        <w:rPr>
          <w:rFonts w:ascii="Segoe UI" w:eastAsia="Segoe UI" w:hAnsi="Segoe UI" w:cs="Segoe UI"/>
        </w:rPr>
        <w:t xml:space="preserve"> CEDH.</w:t>
      </w:r>
    </w:p>
    <w:p w14:paraId="5895923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7D17C9E1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8 de la Convention internationale 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enfant, dont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effet direct a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reconnu par la Cour de cassation (Civ. 1re, 6 janv. 2010, n</w:t>
      </w:r>
      <w:r>
        <w:rPr>
          <w:rFonts w:ascii="Segoe UI" w:eastAsia="Segoe UI" w:hAnsi="Segoe UI" w:cs="Segoe UI"/>
        </w:rPr>
        <w:t>°</w:t>
      </w:r>
      <w:r>
        <w:rPr>
          <w:rFonts w:ascii="Segoe UI" w:eastAsia="Segoe UI" w:hAnsi="Segoe UI" w:cs="Segoe UI"/>
        </w:rPr>
        <w:t xml:space="preserve">08-18871) stipule: </w:t>
      </w:r>
    </w:p>
    <w:p w14:paraId="14A8C4E3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995ED97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  <w:i/>
          <w:iCs/>
        </w:rPr>
      </w:pP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  <w:i/>
          <w:iCs/>
        </w:rPr>
        <w:t xml:space="preserve">Les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tats parties s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engagent </w:t>
      </w:r>
      <w:r>
        <w:rPr>
          <w:rFonts w:ascii="Segoe UI" w:eastAsia="Segoe UI" w:hAnsi="Segoe UI" w:cs="Segoe UI"/>
          <w:i/>
          <w:iCs/>
        </w:rPr>
        <w:t xml:space="preserve">à </w:t>
      </w:r>
      <w:r>
        <w:rPr>
          <w:rFonts w:ascii="Segoe UI" w:eastAsia="Segoe UI" w:hAnsi="Segoe UI" w:cs="Segoe UI"/>
          <w:i/>
          <w:iCs/>
        </w:rPr>
        <w:t>respecter le droit de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enfant de pr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ser</w:t>
      </w:r>
      <w:r>
        <w:rPr>
          <w:rFonts w:ascii="Segoe UI" w:eastAsia="Segoe UI" w:hAnsi="Segoe UI" w:cs="Segoe UI"/>
          <w:i/>
          <w:iCs/>
        </w:rPr>
        <w:t>ver son identit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, y compris sa nationalit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, son nom et ses relations familiales tels 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ils sont reconnus par loi, sans ing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rence ill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gale.</w:t>
      </w:r>
    </w:p>
    <w:p w14:paraId="77C88B60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i/>
          <w:iCs/>
        </w:rPr>
        <w:t>Si un enfant est ill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galement priv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 xml:space="preserve">des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l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ments constitutifs de son identit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ou de certains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entre eux, les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tats parties doivent lui accorder une assistance et une protection appropri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es, pour que son identit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soit 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tablie aussi rapidement que possible</w:t>
      </w:r>
      <w:r>
        <w:rPr>
          <w:rFonts w:ascii="Segoe UI" w:eastAsia="Segoe UI" w:hAnsi="Segoe UI" w:cs="Segoe UI"/>
        </w:rPr>
        <w:t xml:space="preserve"> »</w:t>
      </w:r>
    </w:p>
    <w:p w14:paraId="6397D3B0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</w:t>
      </w:r>
    </w:p>
    <w:p w14:paraId="52A103D8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En ne prenant pas en consid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ration les documents d'identit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et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 officiels et o</w:t>
      </w:r>
      <w:r>
        <w:rPr>
          <w:rFonts w:ascii="Segoe UI" w:eastAsia="Segoe UI" w:hAnsi="Segoe UI" w:cs="Segoe UI"/>
        </w:rPr>
        <w:t xml:space="preserve">riginaux des mineurs, documents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mis par un Etat souverain, en niant toute valeur probante aux documents officiels qui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montraient leur minorit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, sans avoir sollicit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les autorit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de l'Etat d'origine des mineurs, l'int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 sup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rieur de l'enfant et le dro</w:t>
      </w:r>
      <w:r>
        <w:rPr>
          <w:rFonts w:ascii="Segoe UI" w:eastAsia="Segoe UI" w:hAnsi="Segoe UI" w:cs="Segoe UI"/>
        </w:rPr>
        <w:t xml:space="preserve">it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identit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desdits mineurs n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ont pas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respect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s. </w:t>
      </w:r>
    </w:p>
    <w:p w14:paraId="061D4772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C4A88F4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Voir notamment en ce sens la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 du Comit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du 31 mai 2019 CRC/C/81/D/22/2017 (situation o</w:t>
      </w:r>
      <w:r>
        <w:rPr>
          <w:rFonts w:ascii="Segoe UI" w:eastAsia="Segoe UI" w:hAnsi="Segoe UI" w:cs="Segoe UI"/>
        </w:rPr>
        <w:t xml:space="preserve">ù </w:t>
      </w:r>
      <w:r>
        <w:rPr>
          <w:rFonts w:ascii="Segoe UI" w:eastAsia="Segoe UI" w:hAnsi="Segoe UI" w:cs="Segoe UI"/>
        </w:rPr>
        <w:t>le mineur a en sa possession un acte de naissance, une carte consulaire, une d</w:t>
      </w:r>
      <w:r>
        <w:rPr>
          <w:rFonts w:ascii="Segoe UI" w:eastAsia="Segoe UI" w:hAnsi="Segoe UI" w:cs="Segoe UI"/>
        </w:rPr>
        <w:t>emande de passeport puis un passeport biom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trique, les autorit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consulaires du pays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origine n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avaient pas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saisies) ;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 CRC/C/81/D/16/2017 du 31 mai 2019 (situation o</w:t>
      </w:r>
      <w:r>
        <w:rPr>
          <w:rFonts w:ascii="Segoe UI" w:eastAsia="Segoe UI" w:hAnsi="Segoe UI" w:cs="Segoe UI"/>
        </w:rPr>
        <w:t xml:space="preserve">ù </w:t>
      </w:r>
      <w:r>
        <w:rPr>
          <w:rFonts w:ascii="Segoe UI" w:eastAsia="Segoe UI" w:hAnsi="Segoe UI" w:cs="Segoe UI"/>
        </w:rPr>
        <w:t>le mineur n'avait qu'une photocopie d'un acte de naissance et o</w:t>
      </w:r>
      <w:r>
        <w:rPr>
          <w:rFonts w:ascii="Segoe UI" w:eastAsia="Segoe UI" w:hAnsi="Segoe UI" w:cs="Segoe UI"/>
        </w:rPr>
        <w:t xml:space="preserve">ù </w:t>
      </w:r>
      <w:r>
        <w:rPr>
          <w:rFonts w:ascii="Segoe UI" w:eastAsia="Segoe UI" w:hAnsi="Segoe UI" w:cs="Segoe UI"/>
        </w:rPr>
        <w:t xml:space="preserve">sa date de naissance avait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alt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Etat espagnol, les autorit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consulaires du pays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origine n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avaient pas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saisies). </w:t>
      </w:r>
    </w:p>
    <w:p w14:paraId="4274B662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2859ADB" w14:textId="7B8926AD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En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esp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 xml:space="preserve">ce, Monsieur </w:t>
      </w:r>
      <w:r w:rsidR="004A1E78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a produit devant le juge des enfants plusieurs documents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tat civil dont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authenticit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ne </w:t>
      </w:r>
      <w:r>
        <w:rPr>
          <w:rFonts w:ascii="Segoe UI" w:eastAsia="Segoe UI" w:hAnsi="Segoe UI" w:cs="Segoe UI"/>
        </w:rPr>
        <w:t xml:space="preserve">peut valablement 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tre remise en question.</w:t>
      </w:r>
    </w:p>
    <w:p w14:paraId="579DBA13" w14:textId="77777777" w:rsidR="004A1E78" w:rsidRDefault="004A1E78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A928173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AE322F5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" w:hanging="11"/>
        <w:rPr>
          <w:rFonts w:ascii="Segoe UI" w:eastAsia="Segoe UI" w:hAnsi="Segoe UI" w:cs="Segoe UI"/>
          <w:b/>
          <w:bCs/>
          <w:u w:val="single"/>
        </w:rPr>
      </w:pPr>
      <w:r>
        <w:rPr>
          <w:rFonts w:ascii="Segoe UI" w:eastAsia="Segoe UI" w:hAnsi="Segoe UI" w:cs="Segoe UI"/>
          <w:b/>
          <w:bCs/>
        </w:rPr>
        <w:t xml:space="preserve">4. </w:t>
      </w:r>
      <w:r>
        <w:rPr>
          <w:rFonts w:ascii="Segoe UI" w:eastAsia="Segoe UI" w:hAnsi="Segoe UI" w:cs="Segoe UI"/>
          <w:b/>
          <w:bCs/>
          <w:u w:val="single"/>
        </w:rPr>
        <w:t>Sur l’intérêt supé</w:t>
      </w:r>
      <w:r>
        <w:rPr>
          <w:rFonts w:ascii="Segoe UI" w:eastAsia="Segoe UI" w:hAnsi="Segoe UI" w:cs="Segoe UI"/>
          <w:b/>
          <w:bCs/>
          <w:u w:val="single"/>
        </w:rPr>
        <w:t xml:space="preserve">rieur de l’enfant garanti par l’article 3 de la Convention </w:t>
      </w:r>
      <w:r>
        <w:rPr>
          <w:rFonts w:ascii="Segoe UI" w:eastAsia="Segoe UI" w:hAnsi="Segoe UI" w:cs="Segoe UI"/>
          <w:b/>
          <w:bCs/>
          <w:u w:val="single"/>
        </w:rPr>
        <w:lastRenderedPageBreak/>
        <w:t>Internationale des Droits de l’Enfant et sur l’exigence constitutionnelle de protection de l’intérêt supérieur de l’enfant</w:t>
      </w:r>
    </w:p>
    <w:p w14:paraId="26C10C56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5703187B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Il 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sulte de ce qui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de, et de la 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riode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mie de COVID-19 act</w:t>
      </w:r>
      <w:r>
        <w:rPr>
          <w:rFonts w:ascii="Segoe UI" w:eastAsia="Segoe UI" w:hAnsi="Segoe UI" w:cs="Segoe UI"/>
        </w:rPr>
        <w:t>uelle, que ces conditions sont gravement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judiciables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 xml:space="preserve">’ </w:t>
      </w:r>
      <w:r>
        <w:rPr>
          <w:rFonts w:ascii="Segoe UI" w:eastAsia="Segoe UI" w:hAnsi="Segoe UI" w:cs="Segoe UI"/>
        </w:rPr>
        <w:t>int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 sup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rieur garanti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3 de la Convention Internationale 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qui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voit que </w:t>
      </w:r>
      <w:r>
        <w:rPr>
          <w:rFonts w:ascii="Segoe UI" w:eastAsia="Segoe UI" w:hAnsi="Segoe UI" w:cs="Segoe UI"/>
        </w:rPr>
        <w:t>«</w:t>
      </w:r>
      <w:r>
        <w:rPr>
          <w:rFonts w:ascii="Segoe UI" w:eastAsia="Segoe UI" w:hAnsi="Segoe UI" w:cs="Segoe UI"/>
          <w:i/>
          <w:iCs/>
        </w:rPr>
        <w:t> </w:t>
      </w:r>
      <w:r>
        <w:rPr>
          <w:rFonts w:ascii="Segoe UI" w:eastAsia="Segoe UI" w:hAnsi="Segoe UI" w:cs="Segoe UI"/>
          <w:i/>
          <w:iCs/>
          <w:u w:val="single"/>
        </w:rPr>
        <w:t>dans toutes les d</w:t>
      </w:r>
      <w:r>
        <w:rPr>
          <w:rFonts w:ascii="Segoe UI" w:eastAsia="Segoe UI" w:hAnsi="Segoe UI" w:cs="Segoe UI"/>
          <w:i/>
          <w:iCs/>
          <w:u w:val="single"/>
        </w:rPr>
        <w:t>é</w:t>
      </w:r>
      <w:r>
        <w:rPr>
          <w:rFonts w:ascii="Segoe UI" w:eastAsia="Segoe UI" w:hAnsi="Segoe UI" w:cs="Segoe UI"/>
          <w:i/>
          <w:iCs/>
          <w:u w:val="single"/>
        </w:rPr>
        <w:t>cisions qui concernent les enfants</w:t>
      </w:r>
      <w:r>
        <w:rPr>
          <w:rFonts w:ascii="Segoe UI" w:eastAsia="Segoe UI" w:hAnsi="Segoe UI" w:cs="Segoe UI"/>
          <w:i/>
          <w:iCs/>
        </w:rPr>
        <w:t>, 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elles soient le </w:t>
      </w:r>
      <w:r>
        <w:rPr>
          <w:rFonts w:ascii="Segoe UI" w:eastAsia="Segoe UI" w:hAnsi="Segoe UI" w:cs="Segoe UI"/>
          <w:i/>
          <w:iCs/>
        </w:rPr>
        <w:t>fait des institutions publiques ou priv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es de protection sociale, des tribunaux, des autorit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 administratives ou des organes l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gislatifs, </w:t>
      </w:r>
      <w:r>
        <w:rPr>
          <w:rFonts w:ascii="Segoe UI" w:eastAsia="Segoe UI" w:hAnsi="Segoe UI" w:cs="Segoe UI"/>
          <w:i/>
          <w:iCs/>
          <w:u w:val="single"/>
        </w:rPr>
        <w:t>l</w:t>
      </w:r>
      <w:r>
        <w:rPr>
          <w:rFonts w:ascii="Segoe UI" w:eastAsia="Segoe UI" w:hAnsi="Segoe UI" w:cs="Segoe UI"/>
          <w:i/>
          <w:iCs/>
          <w:u w:val="single"/>
        </w:rPr>
        <w:t>’</w:t>
      </w:r>
      <w:r>
        <w:rPr>
          <w:rFonts w:ascii="Segoe UI" w:eastAsia="Segoe UI" w:hAnsi="Segoe UI" w:cs="Segoe UI"/>
          <w:i/>
          <w:iCs/>
          <w:u w:val="single"/>
        </w:rPr>
        <w:t>int</w:t>
      </w:r>
      <w:r>
        <w:rPr>
          <w:rFonts w:ascii="Segoe UI" w:eastAsia="Segoe UI" w:hAnsi="Segoe UI" w:cs="Segoe UI"/>
          <w:i/>
          <w:iCs/>
          <w:u w:val="single"/>
        </w:rPr>
        <w:t>é</w:t>
      </w:r>
      <w:r>
        <w:rPr>
          <w:rFonts w:ascii="Segoe UI" w:eastAsia="Segoe UI" w:hAnsi="Segoe UI" w:cs="Segoe UI"/>
          <w:i/>
          <w:iCs/>
          <w:u w:val="single"/>
        </w:rPr>
        <w:t>r</w:t>
      </w:r>
      <w:r>
        <w:rPr>
          <w:rFonts w:ascii="Segoe UI" w:eastAsia="Segoe UI" w:hAnsi="Segoe UI" w:cs="Segoe UI"/>
          <w:i/>
          <w:iCs/>
          <w:u w:val="single"/>
        </w:rPr>
        <w:t>ê</w:t>
      </w:r>
      <w:r>
        <w:rPr>
          <w:rFonts w:ascii="Segoe UI" w:eastAsia="Segoe UI" w:hAnsi="Segoe UI" w:cs="Segoe UI"/>
          <w:i/>
          <w:iCs/>
          <w:u w:val="single"/>
        </w:rPr>
        <w:t>t sup</w:t>
      </w:r>
      <w:r>
        <w:rPr>
          <w:rFonts w:ascii="Segoe UI" w:eastAsia="Segoe UI" w:hAnsi="Segoe UI" w:cs="Segoe UI"/>
          <w:i/>
          <w:iCs/>
          <w:u w:val="single"/>
        </w:rPr>
        <w:t>é</w:t>
      </w:r>
      <w:r>
        <w:rPr>
          <w:rFonts w:ascii="Segoe UI" w:eastAsia="Segoe UI" w:hAnsi="Segoe UI" w:cs="Segoe UI"/>
          <w:i/>
          <w:iCs/>
          <w:u w:val="single"/>
        </w:rPr>
        <w:t>rieur de l</w:t>
      </w:r>
      <w:r>
        <w:rPr>
          <w:rFonts w:ascii="Segoe UI" w:eastAsia="Segoe UI" w:hAnsi="Segoe UI" w:cs="Segoe UI"/>
          <w:i/>
          <w:iCs/>
          <w:u w:val="single"/>
        </w:rPr>
        <w:t>’</w:t>
      </w:r>
      <w:r>
        <w:rPr>
          <w:rFonts w:ascii="Segoe UI" w:eastAsia="Segoe UI" w:hAnsi="Segoe UI" w:cs="Segoe UI"/>
          <w:i/>
          <w:iCs/>
          <w:u w:val="single"/>
        </w:rPr>
        <w:t xml:space="preserve">enfant doit </w:t>
      </w:r>
      <w:r>
        <w:rPr>
          <w:rFonts w:ascii="Segoe UI" w:eastAsia="Segoe UI" w:hAnsi="Segoe UI" w:cs="Segoe UI"/>
          <w:i/>
          <w:iCs/>
          <w:u w:val="single"/>
        </w:rPr>
        <w:t>ê</w:t>
      </w:r>
      <w:r>
        <w:rPr>
          <w:rFonts w:ascii="Segoe UI" w:eastAsia="Segoe UI" w:hAnsi="Segoe UI" w:cs="Segoe UI"/>
          <w:i/>
          <w:iCs/>
          <w:u w:val="single"/>
        </w:rPr>
        <w:t>tre une consid</w:t>
      </w:r>
      <w:r>
        <w:rPr>
          <w:rFonts w:ascii="Segoe UI" w:eastAsia="Segoe UI" w:hAnsi="Segoe UI" w:cs="Segoe UI"/>
          <w:i/>
          <w:iCs/>
          <w:u w:val="single"/>
        </w:rPr>
        <w:t>é</w:t>
      </w:r>
      <w:r>
        <w:rPr>
          <w:rFonts w:ascii="Segoe UI" w:eastAsia="Segoe UI" w:hAnsi="Segoe UI" w:cs="Segoe UI"/>
          <w:i/>
          <w:iCs/>
          <w:u w:val="single"/>
        </w:rPr>
        <w:t>ration primordiale</w:t>
      </w:r>
      <w:r>
        <w:rPr>
          <w:rFonts w:ascii="Segoe UI" w:eastAsia="Segoe UI" w:hAnsi="Segoe UI" w:cs="Segoe UI"/>
          <w:i/>
          <w:iCs/>
          <w:u w:val="single"/>
        </w:rPr>
        <w:t xml:space="preserve"> » </w:t>
      </w:r>
      <w:r>
        <w:rPr>
          <w:rFonts w:ascii="Segoe UI" w:eastAsia="Segoe UI" w:hAnsi="Segoe UI" w:cs="Segoe UI"/>
        </w:rPr>
        <w:t xml:space="preserve">et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exigence constitutionnelle de protec</w:t>
      </w:r>
      <w:r>
        <w:rPr>
          <w:rFonts w:ascii="Segoe UI" w:eastAsia="Segoe UI" w:hAnsi="Segoe UI" w:cs="Segoe UI"/>
        </w:rPr>
        <w:t>tion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 sup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rieur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consacr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par la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 du Conseil constitutionnel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2018-768 QPC du 21 mars 2019. </w:t>
      </w:r>
    </w:p>
    <w:p w14:paraId="2CCF0D56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E3F703D" w14:textId="34A087F6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 sup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rieur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enfant, garanti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3-1 de la Convention Internationale 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Enfant, exige que M</w:t>
      </w:r>
      <w:r>
        <w:rPr>
          <w:rFonts w:ascii="Segoe UI" w:eastAsia="Segoe UI" w:hAnsi="Segoe UI" w:cs="Segoe UI"/>
        </w:rPr>
        <w:t xml:space="preserve">onsieur </w:t>
      </w:r>
      <w:r w:rsidR="00C24DDC">
        <w:rPr>
          <w:rFonts w:ascii="Segoe UI" w:eastAsia="Segoe UI" w:hAnsi="Segoe UI" w:cs="Segoe UI"/>
        </w:rPr>
        <w:t>xxxxx</w:t>
      </w:r>
      <w:r>
        <w:rPr>
          <w:rFonts w:ascii="Segoe UI" w:eastAsia="Segoe UI" w:hAnsi="Segoe UI" w:cs="Segoe UI"/>
        </w:rPr>
        <w:t xml:space="preserve"> puisse b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ficier sans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lai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une prise en charge adapt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sa situation de mineur en danger, qui lui permette de ne pas 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tre expos</w:t>
      </w:r>
      <w:r>
        <w:rPr>
          <w:rFonts w:ascii="Segoe UI" w:eastAsia="Segoe UI" w:hAnsi="Segoe UI" w:cs="Segoe UI"/>
        </w:rPr>
        <w:t xml:space="preserve">é à </w:t>
      </w:r>
      <w:r>
        <w:rPr>
          <w:rFonts w:ascii="Segoe UI" w:eastAsia="Segoe UI" w:hAnsi="Segoe UI" w:cs="Segoe UI"/>
        </w:rPr>
        <w:t>des risques sanitaires accrus, dans ce contexte sanitaire particulier de gestion de l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pid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mie de COVID-1</w:t>
      </w:r>
      <w:r>
        <w:rPr>
          <w:rFonts w:ascii="Segoe UI" w:eastAsia="Segoe UI" w:hAnsi="Segoe UI" w:cs="Segoe UI"/>
        </w:rPr>
        <w:t xml:space="preserve">9,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des traitements inhumains ou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gradants, ou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des violations de son droit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la vie et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la sant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. </w:t>
      </w:r>
    </w:p>
    <w:p w14:paraId="02C19F64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590C80E4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Il est donc demand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 au juge des enfants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appliquer les mesures provisoires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375-5 du code civil afin de faire respecter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 sup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rieu</w:t>
      </w:r>
      <w:r>
        <w:rPr>
          <w:rFonts w:ascii="Segoe UI" w:eastAsia="Segoe UI" w:hAnsi="Segoe UI" w:cs="Segoe UI"/>
        </w:rPr>
        <w:t>r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garanti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3 de la Convention Internationale 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et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exigence constitutionnelle de protection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 sup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rieur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enfant. </w:t>
      </w:r>
    </w:p>
    <w:p w14:paraId="4FB98232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AC4A111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</w:t>
      </w:r>
    </w:p>
    <w:p w14:paraId="0463C80B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" w:hanging="11"/>
        <w:rPr>
          <w:rFonts w:ascii="Segoe UI" w:eastAsia="Segoe UI" w:hAnsi="Segoe UI" w:cs="Segoe UI"/>
          <w:b/>
          <w:bCs/>
          <w:u w:val="single"/>
        </w:rPr>
      </w:pPr>
      <w:r>
        <w:rPr>
          <w:rFonts w:ascii="Segoe UI" w:eastAsia="Segoe UI" w:hAnsi="Segoe UI" w:cs="Segoe UI"/>
          <w:b/>
          <w:bCs/>
        </w:rPr>
        <w:t xml:space="preserve">5. </w:t>
      </w:r>
      <w:r>
        <w:rPr>
          <w:rFonts w:ascii="Segoe UI" w:eastAsia="Segoe UI" w:hAnsi="Segoe UI" w:cs="Segoe UI"/>
          <w:b/>
          <w:bCs/>
          <w:u w:val="single"/>
        </w:rPr>
        <w:t>Sur le droit de ne pas être soumis à des traitements inhumains ou dé</w:t>
      </w:r>
      <w:r>
        <w:rPr>
          <w:rFonts w:ascii="Segoe UI" w:eastAsia="Segoe UI" w:hAnsi="Segoe UI" w:cs="Segoe UI"/>
          <w:b/>
          <w:bCs/>
          <w:u w:val="single"/>
        </w:rPr>
        <w:t xml:space="preserve">gradants et sur le droit à un recours effectif et suspensif au sens des article 6 et 13 de la convention européenne de sauvegarde des droits de l’homme </w:t>
      </w:r>
    </w:p>
    <w:p w14:paraId="02FE10B0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7D2D660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3 de la Convention europ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enne de sauvegarde 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homme dispose :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  <w:i/>
          <w:iCs/>
        </w:rPr>
        <w:t xml:space="preserve">Nul ne peut 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 xml:space="preserve">tre soumis </w:t>
      </w:r>
      <w:r>
        <w:rPr>
          <w:rFonts w:ascii="Segoe UI" w:eastAsia="Segoe UI" w:hAnsi="Segoe UI" w:cs="Segoe UI"/>
          <w:i/>
          <w:iCs/>
        </w:rPr>
        <w:t xml:space="preserve">à </w:t>
      </w:r>
      <w:r>
        <w:rPr>
          <w:rFonts w:ascii="Segoe UI" w:eastAsia="Segoe UI" w:hAnsi="Segoe UI" w:cs="Segoe UI"/>
          <w:i/>
          <w:iCs/>
        </w:rPr>
        <w:t xml:space="preserve">la torture ni </w:t>
      </w:r>
      <w:r>
        <w:rPr>
          <w:rFonts w:ascii="Segoe UI" w:eastAsia="Segoe UI" w:hAnsi="Segoe UI" w:cs="Segoe UI"/>
          <w:i/>
          <w:iCs/>
        </w:rPr>
        <w:t xml:space="preserve">à </w:t>
      </w:r>
      <w:r>
        <w:rPr>
          <w:rFonts w:ascii="Segoe UI" w:eastAsia="Segoe UI" w:hAnsi="Segoe UI" w:cs="Segoe UI"/>
          <w:i/>
          <w:iCs/>
        </w:rPr>
        <w:t>des peines ou traitements inhumains ou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gradants</w:t>
      </w:r>
      <w:r>
        <w:rPr>
          <w:rFonts w:ascii="Segoe UI" w:eastAsia="Segoe UI" w:hAnsi="Segoe UI" w:cs="Segoe UI"/>
        </w:rPr>
        <w:t xml:space="preserve">. </w:t>
      </w:r>
      <w:r>
        <w:rPr>
          <w:rFonts w:ascii="Segoe UI" w:eastAsia="Segoe UI" w:hAnsi="Segoe UI" w:cs="Segoe UI"/>
        </w:rPr>
        <w:t>»</w:t>
      </w:r>
    </w:p>
    <w:p w14:paraId="1E7701B0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56887B20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13 de ladite Convention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cise</w:t>
      </w:r>
      <w:r>
        <w:rPr>
          <w:rFonts w:ascii="Segoe UI" w:eastAsia="Segoe UI" w:hAnsi="Segoe UI" w:cs="Segoe UI"/>
        </w:rPr>
        <w:t> </w:t>
      </w:r>
      <w:r>
        <w:rPr>
          <w:rFonts w:ascii="Segoe UI" w:eastAsia="Segoe UI" w:hAnsi="Segoe UI" w:cs="Segoe UI"/>
        </w:rPr>
        <w:t xml:space="preserve">: </w:t>
      </w:r>
      <w:r>
        <w:rPr>
          <w:rFonts w:ascii="Segoe UI" w:eastAsia="Segoe UI" w:hAnsi="Segoe UI" w:cs="Segoe UI"/>
          <w:i/>
          <w:iCs/>
        </w:rPr>
        <w:t>« </w:t>
      </w:r>
      <w:r>
        <w:rPr>
          <w:rFonts w:ascii="Segoe UI" w:eastAsia="Segoe UI" w:hAnsi="Segoe UI" w:cs="Segoe UI"/>
          <w:i/>
          <w:iCs/>
        </w:rPr>
        <w:t>Toute personne dont les droits et libert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 reconnus dans la pr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sente Convention ont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viol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s, a droit </w:t>
      </w:r>
      <w:r>
        <w:rPr>
          <w:rFonts w:ascii="Segoe UI" w:eastAsia="Segoe UI" w:hAnsi="Segoe UI" w:cs="Segoe UI"/>
          <w:i/>
          <w:iCs/>
        </w:rPr>
        <w:t xml:space="preserve">à </w:t>
      </w:r>
      <w:r>
        <w:rPr>
          <w:rFonts w:ascii="Segoe UI" w:eastAsia="Segoe UI" w:hAnsi="Segoe UI" w:cs="Segoe UI"/>
          <w:i/>
          <w:iCs/>
        </w:rPr>
        <w:t>l'octroi</w:t>
      </w:r>
      <w:r>
        <w:rPr>
          <w:rFonts w:ascii="Segoe UI" w:eastAsia="Segoe UI" w:hAnsi="Segoe UI" w:cs="Segoe UI"/>
          <w:i/>
          <w:iCs/>
        </w:rPr>
        <w:t xml:space="preserve"> d'un recours effectif devant une instance nationale, alors m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 xml:space="preserve">me que la violation aurait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commise par des personnes agissant dans l'exercice de leurs fonctions officielles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</w:rPr>
        <w:t> »</w:t>
      </w:r>
    </w:p>
    <w:p w14:paraId="4CE871B0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0C5E3878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  <w:i/>
          <w:iCs/>
        </w:rPr>
        <w:t>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article 13 de la Convention</w:t>
      </w:r>
      <w:r>
        <w:rPr>
          <w:rFonts w:ascii="Segoe UI" w:eastAsia="Segoe UI" w:hAnsi="Segoe UI" w:cs="Segoe UI"/>
        </w:rPr>
        <w:t xml:space="preserve"> [EDH] </w:t>
      </w:r>
      <w:r>
        <w:rPr>
          <w:rFonts w:ascii="Segoe UI" w:eastAsia="Segoe UI" w:hAnsi="Segoe UI" w:cs="Segoe UI"/>
          <w:i/>
          <w:iCs/>
        </w:rPr>
        <w:t>garantit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existence en droit interne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un recours permettant de se pr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valoir des droits et libert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 de la Convention tels 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ils y sont consacr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s. Cette disposition a donc pour cons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quence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exiger un recours interne habilitant </w:t>
      </w:r>
      <w:r>
        <w:rPr>
          <w:rFonts w:ascii="Segoe UI" w:eastAsia="Segoe UI" w:hAnsi="Segoe UI" w:cs="Segoe UI"/>
          <w:i/>
          <w:iCs/>
        </w:rPr>
        <w:t xml:space="preserve">à </w:t>
      </w:r>
      <w:r>
        <w:rPr>
          <w:rFonts w:ascii="Segoe UI" w:eastAsia="Segoe UI" w:hAnsi="Segoe UI" w:cs="Segoe UI"/>
          <w:i/>
          <w:iCs/>
        </w:rPr>
        <w:t>examiner le contenu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un </w:t>
      </w:r>
      <w:r>
        <w:rPr>
          <w:rFonts w:ascii="Segoe UI" w:eastAsia="Segoe UI" w:hAnsi="Segoe UI" w:cs="Segoe UI"/>
          <w:i/>
          <w:iCs/>
        </w:rPr>
        <w:t>“</w:t>
      </w:r>
      <w:r>
        <w:rPr>
          <w:rFonts w:ascii="Segoe UI" w:eastAsia="Segoe UI" w:hAnsi="Segoe UI" w:cs="Segoe UI"/>
          <w:i/>
          <w:iCs/>
        </w:rPr>
        <w:t>grief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fendable</w:t>
      </w:r>
      <w:r>
        <w:rPr>
          <w:rFonts w:ascii="Segoe UI" w:eastAsia="Segoe UI" w:hAnsi="Segoe UI" w:cs="Segoe UI"/>
          <w:i/>
          <w:iCs/>
        </w:rPr>
        <w:t xml:space="preserve">“ </w:t>
      </w:r>
      <w:r>
        <w:rPr>
          <w:rFonts w:ascii="Segoe UI" w:eastAsia="Segoe UI" w:hAnsi="Segoe UI" w:cs="Segoe UI"/>
          <w:i/>
          <w:iCs/>
        </w:rPr>
        <w:t>fond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 xml:space="preserve">sur la Convention et </w:t>
      </w:r>
      <w:r>
        <w:rPr>
          <w:rFonts w:ascii="Segoe UI" w:eastAsia="Segoe UI" w:hAnsi="Segoe UI" w:cs="Segoe UI"/>
          <w:i/>
          <w:iCs/>
        </w:rPr>
        <w:t xml:space="preserve">à </w:t>
      </w:r>
      <w:r>
        <w:rPr>
          <w:rFonts w:ascii="Segoe UI" w:eastAsia="Segoe UI" w:hAnsi="Segoe UI" w:cs="Segoe UI"/>
          <w:i/>
          <w:iCs/>
        </w:rPr>
        <w:t>offrir le redressement appropri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</w:rPr>
        <w:t xml:space="preserve"> » </w:t>
      </w:r>
      <w:r>
        <w:rPr>
          <w:rFonts w:ascii="Segoe UI" w:eastAsia="Segoe UI" w:hAnsi="Segoe UI" w:cs="Segoe UI"/>
        </w:rPr>
        <w:t>(Cour EDH, G.C., 21 janvier 2011, M.S.S. c. Belgique et Gr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ce, Req.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30696/09, </w:t>
      </w:r>
      <w:r>
        <w:rPr>
          <w:rFonts w:ascii="Segoe UI" w:eastAsia="Segoe UI" w:hAnsi="Segoe UI" w:cs="Segoe UI"/>
        </w:rPr>
        <w:t xml:space="preserve">§ </w:t>
      </w:r>
      <w:r>
        <w:rPr>
          <w:rFonts w:ascii="Segoe UI" w:eastAsia="Segoe UI" w:hAnsi="Segoe UI" w:cs="Segoe UI"/>
        </w:rPr>
        <w:t>288).</w:t>
      </w:r>
    </w:p>
    <w:p w14:paraId="15A90AA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10B0902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En toutes circonstances,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  <w:i/>
          <w:iCs/>
        </w:rPr>
        <w:t>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effectivit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commande des exigences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accessibilit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et de 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alit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</w:rPr>
        <w:t xml:space="preserve"> » </w:t>
      </w:r>
      <w:r>
        <w:rPr>
          <w:rFonts w:ascii="Segoe UI" w:eastAsia="Segoe UI" w:hAnsi="Segoe UI" w:cs="Segoe UI"/>
        </w:rPr>
        <w:t>(Cour EDH, A</w:t>
      </w:r>
      <w:r>
        <w:rPr>
          <w:rFonts w:ascii="Segoe UI" w:eastAsia="Segoe UI" w:hAnsi="Segoe UI" w:cs="Segoe UI"/>
        </w:rPr>
        <w:t>nc. 5e Sect. 2 f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vrier 2011, I.M. c. France, Req.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9152/09, </w:t>
      </w:r>
      <w:r>
        <w:rPr>
          <w:rFonts w:ascii="Segoe UI" w:eastAsia="Segoe UI" w:hAnsi="Segoe UI" w:cs="Segoe UI"/>
        </w:rPr>
        <w:t xml:space="preserve">§ </w:t>
      </w:r>
      <w:r>
        <w:rPr>
          <w:rFonts w:ascii="Segoe UI" w:eastAsia="Segoe UI" w:hAnsi="Segoe UI" w:cs="Segoe UI"/>
        </w:rPr>
        <w:t>130), c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est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dire que le recours :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  <w:i/>
          <w:iCs/>
        </w:rPr>
        <w:t xml:space="preserve">Doit 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 xml:space="preserve">tre disponible en droit comme en pratique, en ce sens </w:t>
      </w:r>
      <w:r>
        <w:rPr>
          <w:rFonts w:ascii="Segoe UI" w:eastAsia="Segoe UI" w:hAnsi="Segoe UI" w:cs="Segoe UI"/>
          <w:i/>
          <w:iCs/>
        </w:rPr>
        <w:lastRenderedPageBreak/>
        <w:t>particuli</w:t>
      </w:r>
      <w:r>
        <w:rPr>
          <w:rFonts w:ascii="Segoe UI" w:eastAsia="Segoe UI" w:hAnsi="Segoe UI" w:cs="Segoe UI"/>
          <w:i/>
          <w:iCs/>
        </w:rPr>
        <w:t>è</w:t>
      </w:r>
      <w:r>
        <w:rPr>
          <w:rFonts w:ascii="Segoe UI" w:eastAsia="Segoe UI" w:hAnsi="Segoe UI" w:cs="Segoe UI"/>
          <w:i/>
          <w:iCs/>
        </w:rPr>
        <w:t xml:space="preserve">rement que son exercice ne doit pas 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>tre entrav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de mani</w:t>
      </w:r>
      <w:r>
        <w:rPr>
          <w:rFonts w:ascii="Segoe UI" w:eastAsia="Segoe UI" w:hAnsi="Segoe UI" w:cs="Segoe UI"/>
          <w:i/>
          <w:iCs/>
        </w:rPr>
        <w:t>è</w:t>
      </w:r>
      <w:r>
        <w:rPr>
          <w:rFonts w:ascii="Segoe UI" w:eastAsia="Segoe UI" w:hAnsi="Segoe UI" w:cs="Segoe UI"/>
          <w:i/>
          <w:iCs/>
        </w:rPr>
        <w:t>re injustifi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e par les acte</w:t>
      </w:r>
      <w:r>
        <w:rPr>
          <w:rFonts w:ascii="Segoe UI" w:eastAsia="Segoe UI" w:hAnsi="Segoe UI" w:cs="Segoe UI"/>
          <w:i/>
          <w:iCs/>
        </w:rPr>
        <w:t>s ou omissions des autorit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 de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Etat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fendeur</w:t>
      </w:r>
      <w:r>
        <w:rPr>
          <w:rFonts w:ascii="Segoe UI" w:eastAsia="Segoe UI" w:hAnsi="Segoe UI" w:cs="Segoe UI"/>
        </w:rPr>
        <w:t xml:space="preserve"> » </w:t>
      </w:r>
      <w:r>
        <w:rPr>
          <w:rFonts w:ascii="Segoe UI" w:eastAsia="Segoe UI" w:hAnsi="Segoe UI" w:cs="Segoe UI"/>
        </w:rPr>
        <w:t>(CEDH, G.C. 13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cembre 2012, De Souza Ribeiro c. France, Req.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 xml:space="preserve">22689/07, </w:t>
      </w:r>
      <w:r>
        <w:rPr>
          <w:rFonts w:ascii="Segoe UI" w:eastAsia="Segoe UI" w:hAnsi="Segoe UI" w:cs="Segoe UI"/>
        </w:rPr>
        <w:t xml:space="preserve">§ </w:t>
      </w:r>
      <w:r>
        <w:rPr>
          <w:rFonts w:ascii="Segoe UI" w:eastAsia="Segoe UI" w:hAnsi="Segoe UI" w:cs="Segoe UI"/>
        </w:rPr>
        <w:t>80).</w:t>
      </w:r>
    </w:p>
    <w:p w14:paraId="6F653EC2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A2578B0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Il sera rappel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que : </w:t>
      </w: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  <w:i/>
          <w:iCs/>
        </w:rPr>
        <w:t>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effectivit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implique des exigences de qualit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, de rapidit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 xml:space="preserve">et de </w:t>
      </w:r>
      <w:r>
        <w:rPr>
          <w:rFonts w:ascii="Segoe UI" w:eastAsia="Segoe UI" w:hAnsi="Segoe UI" w:cs="Segoe UI"/>
          <w:i/>
          <w:iCs/>
          <w:u w:val="single"/>
        </w:rPr>
        <w:t>suspensivit</w:t>
      </w:r>
      <w:r>
        <w:rPr>
          <w:rFonts w:ascii="Segoe UI" w:eastAsia="Segoe UI" w:hAnsi="Segoe UI" w:cs="Segoe UI"/>
          <w:i/>
          <w:iCs/>
          <w:u w:val="single"/>
        </w:rPr>
        <w:t>é</w:t>
      </w:r>
      <w:r>
        <w:rPr>
          <w:rFonts w:ascii="Segoe UI" w:eastAsia="Segoe UI" w:hAnsi="Segoe UI" w:cs="Segoe UI"/>
          <w:i/>
          <w:iCs/>
        </w:rPr>
        <w:t xml:space="preserve">, compte tenu en </w:t>
      </w:r>
      <w:r>
        <w:rPr>
          <w:rFonts w:ascii="Segoe UI" w:eastAsia="Segoe UI" w:hAnsi="Segoe UI" w:cs="Segoe UI"/>
          <w:i/>
          <w:iCs/>
        </w:rPr>
        <w:t>particulier de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importance que la Cour attache </w:t>
      </w:r>
      <w:r>
        <w:rPr>
          <w:rFonts w:ascii="Segoe UI" w:eastAsia="Segoe UI" w:hAnsi="Segoe UI" w:cs="Segoe UI"/>
          <w:i/>
          <w:iCs/>
        </w:rPr>
        <w:t xml:space="preserve">à </w:t>
      </w:r>
      <w:r>
        <w:rPr>
          <w:rFonts w:ascii="Segoe UI" w:eastAsia="Segoe UI" w:hAnsi="Segoe UI" w:cs="Segoe UI"/>
          <w:i/>
          <w:iCs/>
        </w:rPr>
        <w:t>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article 3 et de la nature irr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versible du dommage susceptible d</w:t>
      </w:r>
      <w:r>
        <w:rPr>
          <w:rFonts w:ascii="Segoe UI" w:eastAsia="Segoe UI" w:hAnsi="Segoe UI" w:cs="Segoe UI"/>
          <w:i/>
          <w:iCs/>
        </w:rPr>
        <w:t>’ê</w:t>
      </w:r>
      <w:r>
        <w:rPr>
          <w:rFonts w:ascii="Segoe UI" w:eastAsia="Segoe UI" w:hAnsi="Segoe UI" w:cs="Segoe UI"/>
          <w:i/>
          <w:iCs/>
        </w:rPr>
        <w:t>tre caus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en cas de 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alisation du risque de torture ou de mauvais traitements</w:t>
      </w:r>
      <w:r>
        <w:rPr>
          <w:rFonts w:ascii="Segoe UI" w:eastAsia="Segoe UI" w:hAnsi="Segoe UI" w:cs="Segoe UI"/>
        </w:rPr>
        <w:t xml:space="preserve"> » </w:t>
      </w:r>
      <w:r>
        <w:rPr>
          <w:rFonts w:ascii="Segoe UI" w:eastAsia="Segoe UI" w:hAnsi="Segoe UI" w:cs="Segoe UI"/>
        </w:rPr>
        <w:t>(I.M. c. France,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</w:rPr>
        <w:t xml:space="preserve">§ </w:t>
      </w:r>
      <w:r>
        <w:rPr>
          <w:rFonts w:ascii="Segoe UI" w:eastAsia="Segoe UI" w:hAnsi="Segoe UI" w:cs="Segoe UI"/>
        </w:rPr>
        <w:t>130).</w:t>
      </w:r>
    </w:p>
    <w:p w14:paraId="2A93B41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7F71442D" w14:textId="1571A65B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attention port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de</w:t>
      </w:r>
      <w:r>
        <w:rPr>
          <w:rFonts w:ascii="Segoe UI" w:eastAsia="Segoe UI" w:hAnsi="Segoe UI" w:cs="Segoe UI"/>
        </w:rPr>
        <w:t xml:space="preserve"> telles situations comme en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esp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ce est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autant plus 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cessaire que la minorit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de M. </w:t>
      </w:r>
      <w:r w:rsidR="00A06C70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est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montr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par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ensemble des documents qu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il a en sa possession, et qui doivent b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ficier de la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somption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authenticit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article 47 du code civil.  </w:t>
      </w:r>
    </w:p>
    <w:p w14:paraId="3751606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47ECBC44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A ce titre, il est utile de rappeler que c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est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interpr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tation retenue par la Cour europ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enne 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homme puisque cette derni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re, dans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affaire SMK C. France du 15 mars 2019, Requ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te n</w:t>
      </w:r>
      <w:r>
        <w:rPr>
          <w:rFonts w:ascii="Segoe UI" w:eastAsia="Segoe UI" w:hAnsi="Segoe UI" w:cs="Segoe UI"/>
        </w:rPr>
        <w:t>°</w:t>
      </w:r>
      <w:r>
        <w:rPr>
          <w:rFonts w:ascii="Segoe UI" w:eastAsia="Segoe UI" w:hAnsi="Segoe UI" w:cs="Segoe UI"/>
        </w:rPr>
        <w:t>14356/19, a ordonn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mesure</w:t>
      </w:r>
      <w:r>
        <w:rPr>
          <w:rFonts w:ascii="Segoe UI" w:eastAsia="Segoe UI" w:hAnsi="Segoe UI" w:cs="Segoe UI"/>
        </w:rPr>
        <w:t>s provisoires afin qu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une mineure isol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puisse b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ficier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une prise en charge dans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attente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examen de son recours devant le juge des enfants et la Cour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appel. </w:t>
      </w:r>
    </w:p>
    <w:p w14:paraId="5FFF5CE9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29C392C" w14:textId="77777777" w:rsidR="00190904" w:rsidRDefault="00C62DF1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De m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me, en sa qualit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interpr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te authentique de la Convention relative aux droits</w:t>
      </w:r>
      <w:r>
        <w:rPr>
          <w:rFonts w:ascii="Segoe UI" w:eastAsia="Segoe UI" w:hAnsi="Segoe UI" w:cs="Segoe UI"/>
        </w:rPr>
        <w:t xml:space="preserve">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enfant, le Comit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souligne que le processus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valuation initiale des mineurs non accompagn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s, </w:t>
      </w:r>
      <w:r>
        <w:rPr>
          <w:rFonts w:ascii="Segoe UI" w:eastAsia="Segoe UI" w:hAnsi="Segoe UI" w:cs="Segoe UI"/>
        </w:rPr>
        <w:t>«</w:t>
      </w:r>
      <w:r>
        <w:rPr>
          <w:rFonts w:ascii="Segoe UI" w:eastAsia="Segoe UI" w:hAnsi="Segoe UI" w:cs="Segoe UI"/>
          <w:i/>
          <w:iCs/>
        </w:rPr>
        <w:t xml:space="preserve"> doit [</w:t>
      </w:r>
      <w:r>
        <w:rPr>
          <w:rFonts w:ascii="Segoe UI" w:eastAsia="Segoe UI" w:hAnsi="Segoe UI" w:cs="Segoe UI"/>
          <w:i/>
          <w:iCs/>
        </w:rPr>
        <w:t>…</w:t>
      </w:r>
      <w:r>
        <w:rPr>
          <w:rFonts w:ascii="Segoe UI" w:eastAsia="Segoe UI" w:hAnsi="Segoe UI" w:cs="Segoe UI"/>
          <w:i/>
          <w:iCs/>
        </w:rPr>
        <w:t>] se faire avec tout le respect d</w:t>
      </w:r>
      <w:r>
        <w:rPr>
          <w:rFonts w:ascii="Segoe UI" w:eastAsia="Segoe UI" w:hAnsi="Segoe UI" w:cs="Segoe UI"/>
          <w:i/>
          <w:iCs/>
        </w:rPr>
        <w:t xml:space="preserve">û à </w:t>
      </w:r>
      <w:r>
        <w:rPr>
          <w:rFonts w:ascii="Segoe UI" w:eastAsia="Segoe UI" w:hAnsi="Segoe UI" w:cs="Segoe UI"/>
          <w:i/>
          <w:iCs/>
        </w:rPr>
        <w:t>la dignit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humaine et, en cas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incertitude persistante, le b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n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fice du doute doit 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>tre accord</w:t>
      </w:r>
      <w:r>
        <w:rPr>
          <w:rFonts w:ascii="Segoe UI" w:eastAsia="Segoe UI" w:hAnsi="Segoe UI" w:cs="Segoe UI"/>
          <w:i/>
          <w:iCs/>
        </w:rPr>
        <w:t xml:space="preserve">é à </w:t>
      </w:r>
      <w:r>
        <w:rPr>
          <w:rFonts w:ascii="Segoe UI" w:eastAsia="Segoe UI" w:hAnsi="Segoe UI" w:cs="Segoe UI"/>
          <w:i/>
          <w:iCs/>
        </w:rPr>
        <w:t>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int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ress</w:t>
      </w:r>
      <w:r>
        <w:rPr>
          <w:rFonts w:ascii="Segoe UI" w:eastAsia="Segoe UI" w:hAnsi="Segoe UI" w:cs="Segoe UI"/>
          <w:i/>
          <w:iCs/>
        </w:rPr>
        <w:t xml:space="preserve">é − </w:t>
      </w:r>
      <w:r>
        <w:rPr>
          <w:rFonts w:ascii="Segoe UI" w:eastAsia="Segoe UI" w:hAnsi="Segoe UI" w:cs="Segoe UI"/>
          <w:i/>
          <w:iCs/>
        </w:rPr>
        <w:t>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il convient de traiter comme un enfant si la possibilit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existe 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il s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agisse effectivement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un mineur </w:t>
      </w:r>
      <w:r>
        <w:rPr>
          <w:rFonts w:ascii="Segoe UI" w:eastAsia="Segoe UI" w:hAnsi="Segoe UI" w:cs="Segoe UI"/>
        </w:rPr>
        <w:t xml:space="preserve">» </w:t>
      </w:r>
      <w:r>
        <w:rPr>
          <w:rFonts w:ascii="Segoe UI" w:eastAsia="Segoe UI" w:hAnsi="Segoe UI" w:cs="Segoe UI"/>
        </w:rPr>
        <w:t>(CDE, 1er septembre 2005, Observation g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rale n</w:t>
      </w:r>
      <w:r>
        <w:rPr>
          <w:rFonts w:ascii="Segoe UI" w:eastAsia="Segoe UI" w:hAnsi="Segoe UI" w:cs="Segoe UI"/>
        </w:rPr>
        <w:t xml:space="preserve">° </w:t>
      </w:r>
      <w:r>
        <w:rPr>
          <w:rFonts w:ascii="Segoe UI" w:eastAsia="Segoe UI" w:hAnsi="Segoe UI" w:cs="Segoe UI"/>
        </w:rPr>
        <w:t>6, Traitement des enfants non accompagn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et des</w:t>
      </w:r>
      <w:r>
        <w:rPr>
          <w:rFonts w:ascii="Segoe UI" w:eastAsia="Segoe UI" w:hAnsi="Segoe UI" w:cs="Segoe UI"/>
        </w:rPr>
        <w:t xml:space="preserve"> enfants s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par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en dehors de leur pays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origine, </w:t>
      </w:r>
      <w:r>
        <w:rPr>
          <w:rFonts w:ascii="Segoe UI" w:eastAsia="Segoe UI" w:hAnsi="Segoe UI" w:cs="Segoe UI"/>
        </w:rPr>
        <w:t xml:space="preserve">§ </w:t>
      </w:r>
      <w:r>
        <w:rPr>
          <w:rFonts w:ascii="Segoe UI" w:eastAsia="Segoe UI" w:hAnsi="Segoe UI" w:cs="Segoe UI"/>
        </w:rPr>
        <w:t xml:space="preserve">20). </w:t>
      </w:r>
    </w:p>
    <w:p w14:paraId="1E4A47B8" w14:textId="77777777" w:rsidR="00190904" w:rsidRDefault="0019090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2AE258D" w14:textId="77777777" w:rsidR="00190904" w:rsidRDefault="00C62DF1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Derni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rement, le Comit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est venu fermement rappeler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importance de respecter cette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somption de minorit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. En effet, le Comit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des droits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enfant des Nations Unies con</w:t>
      </w:r>
      <w:r>
        <w:rPr>
          <w:rFonts w:ascii="Segoe UI" w:eastAsia="Segoe UI" w:hAnsi="Segoe UI" w:cs="Segoe UI"/>
        </w:rPr>
        <w:t>sacre de mani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 tr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s claire cette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somption de minorit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dans ses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cisions du 31 mai 2019 contre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Espagne, aff. CRC/C/81/D/22/2017 et CRC/C/81/D/16/2017 dans lesquelles il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cise</w:t>
      </w:r>
      <w:r>
        <w:rPr>
          <w:rFonts w:ascii="Segoe UI" w:eastAsia="Segoe UI" w:hAnsi="Segoe UI" w:cs="Segoe UI"/>
        </w:rPr>
        <w:t> </w:t>
      </w:r>
      <w:r>
        <w:rPr>
          <w:rFonts w:ascii="Segoe UI" w:eastAsia="Segoe UI" w:hAnsi="Segoe UI" w:cs="Segoe UI"/>
        </w:rPr>
        <w:t xml:space="preserve">: </w:t>
      </w:r>
    </w:p>
    <w:p w14:paraId="0DE3658C" w14:textId="77777777" w:rsidR="00190904" w:rsidRDefault="0019090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67BB5EBC" w14:textId="77777777" w:rsidR="00190904" w:rsidRDefault="00C62DF1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</w:rPr>
        <w:t xml:space="preserve"> « </w:t>
      </w:r>
      <w:r>
        <w:rPr>
          <w:rFonts w:ascii="Segoe UI" w:eastAsia="Segoe UI" w:hAnsi="Segoe UI" w:cs="Segoe UI"/>
          <w:i/>
          <w:iCs/>
        </w:rPr>
        <w:t>la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termination de l</w:t>
      </w:r>
      <w:r>
        <w:rPr>
          <w:rFonts w:ascii="Segoe UI" w:eastAsia="Segoe UI" w:hAnsi="Segoe UI" w:cs="Segoe UI"/>
          <w:i/>
          <w:iCs/>
        </w:rPr>
        <w:t>’â</w:t>
      </w:r>
      <w:r>
        <w:rPr>
          <w:rFonts w:ascii="Segoe UI" w:eastAsia="Segoe UI" w:hAnsi="Segoe UI" w:cs="Segoe UI"/>
          <w:i/>
          <w:iCs/>
        </w:rPr>
        <w:t>ge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une jeune personne qui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clare 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>tre mineure rev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>t une importance fondamentale, dans la mesure o</w:t>
      </w:r>
      <w:r>
        <w:rPr>
          <w:rFonts w:ascii="Segoe UI" w:eastAsia="Segoe UI" w:hAnsi="Segoe UI" w:cs="Segoe UI"/>
          <w:i/>
          <w:iCs/>
        </w:rPr>
        <w:t xml:space="preserve">ù </w:t>
      </w:r>
      <w:r>
        <w:rPr>
          <w:rFonts w:ascii="Segoe UI" w:eastAsia="Segoe UI" w:hAnsi="Segoe UI" w:cs="Segoe UI"/>
          <w:i/>
          <w:iCs/>
        </w:rPr>
        <w:t>son issue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termine si cette personne b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n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ficiera ou non de la protection nationale en tant 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enfant. De la m</w:t>
      </w:r>
      <w:r>
        <w:rPr>
          <w:rFonts w:ascii="Segoe UI" w:eastAsia="Segoe UI" w:hAnsi="Segoe UI" w:cs="Segoe UI"/>
          <w:i/>
          <w:iCs/>
        </w:rPr>
        <w:t>ê</w:t>
      </w:r>
      <w:r>
        <w:rPr>
          <w:rFonts w:ascii="Segoe UI" w:eastAsia="Segoe UI" w:hAnsi="Segoe UI" w:cs="Segoe UI"/>
          <w:i/>
          <w:iCs/>
        </w:rPr>
        <w:t>me fa</w:t>
      </w:r>
      <w:r>
        <w:rPr>
          <w:rFonts w:ascii="Segoe UI" w:eastAsia="Segoe UI" w:hAnsi="Segoe UI" w:cs="Segoe UI"/>
          <w:i/>
          <w:iCs/>
        </w:rPr>
        <w:t>ç</w:t>
      </w:r>
      <w:r>
        <w:rPr>
          <w:rFonts w:ascii="Segoe UI" w:eastAsia="Segoe UI" w:hAnsi="Segoe UI" w:cs="Segoe UI"/>
          <w:i/>
          <w:iCs/>
        </w:rPr>
        <w:t>on, et ce point est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une importance vitale pour le Comit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, la jouissance </w:t>
      </w:r>
      <w:r>
        <w:rPr>
          <w:rFonts w:ascii="Segoe UI" w:eastAsia="Segoe UI" w:hAnsi="Segoe UI" w:cs="Segoe UI"/>
          <w:i/>
          <w:iCs/>
        </w:rPr>
        <w:t xml:space="preserve">des droits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nonc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 dans la Convention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coule de cette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termination. Par cons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quent, il est donc imp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ratif 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il y ait une proc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dure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quitable pour d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terminer l</w:t>
      </w:r>
      <w:r>
        <w:rPr>
          <w:rFonts w:ascii="Segoe UI" w:eastAsia="Segoe UI" w:hAnsi="Segoe UI" w:cs="Segoe UI"/>
          <w:i/>
          <w:iCs/>
        </w:rPr>
        <w:t>’â</w:t>
      </w:r>
      <w:r>
        <w:rPr>
          <w:rFonts w:ascii="Segoe UI" w:eastAsia="Segoe UI" w:hAnsi="Segoe UI" w:cs="Segoe UI"/>
          <w:i/>
          <w:iCs/>
        </w:rPr>
        <w:t>ge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une personne, et qu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il y ait la possibilit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de contester le 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sultat obtenu par le </w:t>
      </w:r>
      <w:r>
        <w:rPr>
          <w:rFonts w:ascii="Segoe UI" w:eastAsia="Segoe UI" w:hAnsi="Segoe UI" w:cs="Segoe UI"/>
          <w:i/>
          <w:iCs/>
        </w:rPr>
        <w:t>biais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une proc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dure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appel. </w:t>
      </w:r>
      <w:r>
        <w:rPr>
          <w:rFonts w:ascii="Segoe UI" w:eastAsia="Segoe UI" w:hAnsi="Segoe UI" w:cs="Segoe UI"/>
          <w:b/>
          <w:bCs/>
          <w:i/>
          <w:iCs/>
        </w:rPr>
        <w:t>Pendant que ce processus est en cours, la personne doit se voir accorder le b</w:t>
      </w:r>
      <w:r>
        <w:rPr>
          <w:rFonts w:ascii="Segoe UI" w:eastAsia="Segoe UI" w:hAnsi="Segoe UI" w:cs="Segoe UI"/>
          <w:b/>
          <w:bCs/>
          <w:i/>
          <w:iCs/>
        </w:rPr>
        <w:t>é</w:t>
      </w:r>
      <w:r>
        <w:rPr>
          <w:rFonts w:ascii="Segoe UI" w:eastAsia="Segoe UI" w:hAnsi="Segoe UI" w:cs="Segoe UI"/>
          <w:b/>
          <w:bCs/>
          <w:i/>
          <w:iCs/>
        </w:rPr>
        <w:t>n</w:t>
      </w:r>
      <w:r>
        <w:rPr>
          <w:rFonts w:ascii="Segoe UI" w:eastAsia="Segoe UI" w:hAnsi="Segoe UI" w:cs="Segoe UI"/>
          <w:b/>
          <w:bCs/>
          <w:i/>
          <w:iCs/>
        </w:rPr>
        <w:t>é</w:t>
      </w:r>
      <w:r>
        <w:rPr>
          <w:rFonts w:ascii="Segoe UI" w:eastAsia="Segoe UI" w:hAnsi="Segoe UI" w:cs="Segoe UI"/>
          <w:b/>
          <w:bCs/>
          <w:i/>
          <w:iCs/>
        </w:rPr>
        <w:t xml:space="preserve">fice du doute et </w:t>
      </w:r>
      <w:r>
        <w:rPr>
          <w:rFonts w:ascii="Segoe UI" w:eastAsia="Segoe UI" w:hAnsi="Segoe UI" w:cs="Segoe UI"/>
          <w:b/>
          <w:bCs/>
          <w:i/>
          <w:iCs/>
        </w:rPr>
        <w:t>ê</w:t>
      </w:r>
      <w:r>
        <w:rPr>
          <w:rFonts w:ascii="Segoe UI" w:eastAsia="Segoe UI" w:hAnsi="Segoe UI" w:cs="Segoe UI"/>
          <w:b/>
          <w:bCs/>
          <w:i/>
          <w:iCs/>
        </w:rPr>
        <w:t>tre trait</w:t>
      </w:r>
      <w:r>
        <w:rPr>
          <w:rFonts w:ascii="Segoe UI" w:eastAsia="Segoe UI" w:hAnsi="Segoe UI" w:cs="Segoe UI"/>
          <w:b/>
          <w:bCs/>
          <w:i/>
          <w:iCs/>
        </w:rPr>
        <w:t>é</w:t>
      </w:r>
      <w:r>
        <w:rPr>
          <w:rFonts w:ascii="Segoe UI" w:eastAsia="Segoe UI" w:hAnsi="Segoe UI" w:cs="Segoe UI"/>
          <w:b/>
          <w:bCs/>
          <w:i/>
          <w:iCs/>
        </w:rPr>
        <w:t>e comme un enfant</w:t>
      </w:r>
      <w:r>
        <w:rPr>
          <w:rFonts w:ascii="Segoe UI" w:eastAsia="Segoe UI" w:hAnsi="Segoe UI" w:cs="Segoe UI"/>
          <w:i/>
          <w:iCs/>
        </w:rPr>
        <w:t xml:space="preserve">  » </w:t>
      </w:r>
      <w:r>
        <w:rPr>
          <w:rFonts w:ascii="Segoe UI" w:eastAsia="Segoe UI" w:hAnsi="Segoe UI" w:cs="Segoe UI"/>
          <w:i/>
          <w:iCs/>
        </w:rPr>
        <w:t>(r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f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rence : CRC/C/81/D/16/2017, </w:t>
      </w:r>
      <w:r>
        <w:rPr>
          <w:rFonts w:ascii="Segoe UI" w:eastAsia="Segoe UI" w:hAnsi="Segoe UI" w:cs="Segoe UI"/>
          <w:i/>
          <w:iCs/>
        </w:rPr>
        <w:t>§</w:t>
      </w:r>
      <w:r>
        <w:rPr>
          <w:rFonts w:ascii="Segoe UI" w:eastAsia="Segoe UI" w:hAnsi="Segoe UI" w:cs="Segoe UI"/>
          <w:i/>
          <w:iCs/>
        </w:rPr>
        <w:t>12.3)</w:t>
      </w:r>
    </w:p>
    <w:p w14:paraId="1A2E38F4" w14:textId="77777777" w:rsidR="00190904" w:rsidRDefault="0019090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7A4B9645" w14:textId="77777777" w:rsidR="00190904" w:rsidRDefault="00C62DF1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Pour renverser cette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somption, le processus d</w:t>
      </w:r>
      <w:r>
        <w:rPr>
          <w:rFonts w:ascii="Segoe UI" w:eastAsia="Segoe UI" w:hAnsi="Segoe UI" w:cs="Segoe UI"/>
        </w:rPr>
        <w:t>’é</w:t>
      </w:r>
      <w:r>
        <w:rPr>
          <w:rFonts w:ascii="Segoe UI" w:eastAsia="Segoe UI" w:hAnsi="Segoe UI" w:cs="Segoe UI"/>
        </w:rPr>
        <w:t>valua</w:t>
      </w:r>
      <w:r>
        <w:rPr>
          <w:rFonts w:ascii="Segoe UI" w:eastAsia="Segoe UI" w:hAnsi="Segoe UI" w:cs="Segoe UI"/>
        </w:rPr>
        <w:t>tion de minorit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doit donc 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cessairement 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>tre assorti de garanties 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gales ad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quates et suffisantes et permettre un recours suspensif devant le juge des enfants et le cas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ch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ant, la Cour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appel. </w:t>
      </w:r>
    </w:p>
    <w:p w14:paraId="40D0C6A8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46202F5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Ces garanties sont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autant plus importantes eu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gard au contexte sanitaire actuel dans lequel se trouve la France. </w:t>
      </w:r>
    </w:p>
    <w:p w14:paraId="5F18485E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419D3669" w14:textId="6D32583A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Il est donc demand</w:t>
      </w:r>
      <w:r>
        <w:rPr>
          <w:rFonts w:ascii="Segoe UI" w:eastAsia="Segoe UI" w:hAnsi="Segoe UI" w:cs="Segoe UI"/>
          <w:b/>
          <w:bCs/>
        </w:rPr>
        <w:t xml:space="preserve">é </w:t>
      </w:r>
      <w:r>
        <w:rPr>
          <w:rFonts w:ascii="Segoe UI" w:eastAsia="Segoe UI" w:hAnsi="Segoe UI" w:cs="Segoe UI"/>
          <w:b/>
          <w:bCs/>
        </w:rPr>
        <w:t>au juge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application des mesures provisoires de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 xml:space="preserve">article 375-5 du code civil afin de faire respecter le droit de M. </w:t>
      </w:r>
      <w:r w:rsidR="008D0475">
        <w:rPr>
          <w:rFonts w:ascii="Segoe UI" w:eastAsia="Segoe UI" w:hAnsi="Segoe UI" w:cs="Segoe UI"/>
          <w:b/>
          <w:bCs/>
        </w:rPr>
        <w:t>xxxx</w:t>
      </w:r>
      <w:r>
        <w:rPr>
          <w:rFonts w:ascii="Segoe UI" w:eastAsia="Segoe UI" w:hAnsi="Segoe UI" w:cs="Segoe UI"/>
          <w:b/>
          <w:bCs/>
        </w:rPr>
        <w:t xml:space="preserve"> de ne pas </w:t>
      </w:r>
      <w:r>
        <w:rPr>
          <w:rFonts w:ascii="Segoe UI" w:eastAsia="Segoe UI" w:hAnsi="Segoe UI" w:cs="Segoe UI"/>
          <w:b/>
          <w:bCs/>
        </w:rPr>
        <w:t>ê</w:t>
      </w:r>
      <w:r>
        <w:rPr>
          <w:rFonts w:ascii="Segoe UI" w:eastAsia="Segoe UI" w:hAnsi="Segoe UI" w:cs="Segoe UI"/>
          <w:b/>
          <w:bCs/>
        </w:rPr>
        <w:t>tre</w:t>
      </w:r>
      <w:r>
        <w:rPr>
          <w:rFonts w:ascii="Segoe UI" w:eastAsia="Segoe UI" w:hAnsi="Segoe UI" w:cs="Segoe UI"/>
          <w:b/>
          <w:bCs/>
        </w:rPr>
        <w:t xml:space="preserve"> soumis </w:t>
      </w:r>
      <w:r>
        <w:rPr>
          <w:rFonts w:ascii="Segoe UI" w:eastAsia="Segoe UI" w:hAnsi="Segoe UI" w:cs="Segoe UI"/>
          <w:b/>
          <w:bCs/>
        </w:rPr>
        <w:t xml:space="preserve">à </w:t>
      </w:r>
      <w:r>
        <w:rPr>
          <w:rFonts w:ascii="Segoe UI" w:eastAsia="Segoe UI" w:hAnsi="Segoe UI" w:cs="Segoe UI"/>
          <w:b/>
          <w:bCs/>
        </w:rPr>
        <w:t>des traitements inhumains ou d</w:t>
      </w:r>
      <w:r>
        <w:rPr>
          <w:rFonts w:ascii="Segoe UI" w:eastAsia="Segoe UI" w:hAnsi="Segoe UI" w:cs="Segoe UI"/>
          <w:b/>
          <w:bCs/>
        </w:rPr>
        <w:t>é</w:t>
      </w:r>
      <w:r>
        <w:rPr>
          <w:rFonts w:ascii="Segoe UI" w:eastAsia="Segoe UI" w:hAnsi="Segoe UI" w:cs="Segoe UI"/>
          <w:b/>
          <w:bCs/>
        </w:rPr>
        <w:t xml:space="preserve">gradants et son droit </w:t>
      </w:r>
      <w:r>
        <w:rPr>
          <w:rFonts w:ascii="Segoe UI" w:eastAsia="Segoe UI" w:hAnsi="Segoe UI" w:cs="Segoe UI"/>
          <w:b/>
          <w:bCs/>
        </w:rPr>
        <w:t xml:space="preserve">à </w:t>
      </w:r>
      <w:r>
        <w:rPr>
          <w:rFonts w:ascii="Segoe UI" w:eastAsia="Segoe UI" w:hAnsi="Segoe UI" w:cs="Segoe UI"/>
          <w:b/>
          <w:bCs/>
        </w:rPr>
        <w:t>un recours effectif et suspensif au sens des articles 6 et 13 de la convention europ</w:t>
      </w:r>
      <w:r>
        <w:rPr>
          <w:rFonts w:ascii="Segoe UI" w:eastAsia="Segoe UI" w:hAnsi="Segoe UI" w:cs="Segoe UI"/>
          <w:b/>
          <w:bCs/>
        </w:rPr>
        <w:t>é</w:t>
      </w:r>
      <w:r>
        <w:rPr>
          <w:rFonts w:ascii="Segoe UI" w:eastAsia="Segoe UI" w:hAnsi="Segoe UI" w:cs="Segoe UI"/>
          <w:b/>
          <w:bCs/>
        </w:rPr>
        <w:t>enne de sauvegarde des droits de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 xml:space="preserve">homme. </w:t>
      </w:r>
    </w:p>
    <w:p w14:paraId="473D2213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  <w:b/>
          <w:bCs/>
        </w:rPr>
      </w:pPr>
    </w:p>
    <w:p w14:paraId="0F511B22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358A8DDE" w14:textId="321427AC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" w:hanging="11"/>
        <w:rPr>
          <w:rFonts w:ascii="Segoe UI" w:eastAsia="Segoe UI" w:hAnsi="Segoe UI" w:cs="Segoe UI"/>
          <w:b/>
          <w:bCs/>
          <w:u w:val="single"/>
        </w:rPr>
      </w:pPr>
      <w:r>
        <w:rPr>
          <w:rFonts w:ascii="Segoe UI" w:eastAsia="Segoe UI" w:hAnsi="Segoe UI" w:cs="Segoe UI"/>
          <w:b/>
          <w:bCs/>
        </w:rPr>
        <w:t xml:space="preserve">6. </w:t>
      </w:r>
      <w:r>
        <w:rPr>
          <w:rFonts w:ascii="Segoe UI" w:eastAsia="Segoe UI" w:hAnsi="Segoe UI" w:cs="Segoe UI"/>
          <w:b/>
          <w:bCs/>
          <w:u w:val="single"/>
        </w:rPr>
        <w:t xml:space="preserve">Droit à la vie et à la santé de M. </w:t>
      </w:r>
      <w:r w:rsidR="008D0475">
        <w:rPr>
          <w:rFonts w:ascii="Segoe UI" w:eastAsia="Segoe UI" w:hAnsi="Segoe UI" w:cs="Segoe UI"/>
          <w:b/>
          <w:bCs/>
          <w:u w:val="single"/>
        </w:rPr>
        <w:t>xxxx</w:t>
      </w:r>
      <w:r>
        <w:rPr>
          <w:rFonts w:ascii="Segoe UI" w:eastAsia="Segoe UI" w:hAnsi="Segoe UI" w:cs="Segoe UI"/>
          <w:b/>
          <w:bCs/>
          <w:u w:val="single"/>
        </w:rPr>
        <w:t xml:space="preserve">, mineur isolé  </w:t>
      </w:r>
    </w:p>
    <w:p w14:paraId="1F713F10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568D123E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Le droit au respect de la vie ainsi que le droit de ne pas 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 xml:space="preserve">tre soumis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des traitements inhumains ou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gradants constituent des libert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s fondamentales prot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g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es respectivement par les articles 2 et 3 de la convention europ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enne de sauvegarde des droits d</w:t>
      </w:r>
      <w:r>
        <w:rPr>
          <w:rFonts w:ascii="Segoe UI" w:eastAsia="Segoe UI" w:hAnsi="Segoe UI" w:cs="Segoe UI"/>
        </w:rPr>
        <w:t>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homme. </w:t>
      </w:r>
    </w:p>
    <w:p w14:paraId="7D01AEA9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449676F1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Le droit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la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a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reconnu comme un principe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valeur constitutionnelle (Conseil constitutionnel, 22 juillet 1980, no 80-117 DC Loi sur la protection et le contr</w:t>
      </w:r>
      <w:r>
        <w:rPr>
          <w:rFonts w:ascii="Segoe UI" w:eastAsia="Segoe UI" w:hAnsi="Segoe UI" w:cs="Segoe UI"/>
        </w:rPr>
        <w:t>ô</w:t>
      </w:r>
      <w:r>
        <w:rPr>
          <w:rFonts w:ascii="Segoe UI" w:eastAsia="Segoe UI" w:hAnsi="Segoe UI" w:cs="Segoe UI"/>
        </w:rPr>
        <w:t>le des mati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res nucl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aires). . </w:t>
      </w:r>
    </w:p>
    <w:p w14:paraId="5B5DC49B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374C4BF8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article L. 1110-5 du code de la </w:t>
      </w:r>
      <w:r>
        <w:rPr>
          <w:rFonts w:ascii="Segoe UI" w:eastAsia="Segoe UI" w:hAnsi="Segoe UI" w:cs="Segoe UI"/>
        </w:rPr>
        <w:t>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publique dispose en outre que :</w:t>
      </w:r>
    </w:p>
    <w:p w14:paraId="050B44E3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1C5E5923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« </w:t>
      </w:r>
      <w:r>
        <w:rPr>
          <w:rFonts w:ascii="Segoe UI" w:eastAsia="Segoe UI" w:hAnsi="Segoe UI" w:cs="Segoe UI"/>
          <w:i/>
          <w:iCs/>
        </w:rPr>
        <w:t xml:space="preserve">Toute personne a, compte tenu de son 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tat de sant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et de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urgence des interventions que celui-ci requiert, le droit de recevoir, sur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ensemble du territoire, les traitements et les soins les plus appropri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 xml:space="preserve">s et de </w:t>
      </w:r>
      <w:r>
        <w:rPr>
          <w:rFonts w:ascii="Segoe UI" w:eastAsia="Segoe UI" w:hAnsi="Segoe UI" w:cs="Segoe UI"/>
          <w:i/>
          <w:iCs/>
        </w:rPr>
        <w:t>b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n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ficier des th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rapeutiques dont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efficacit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est reconnue et qui garantissent la meilleure s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curit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sanitaire et le meilleur apaisement possible de la souffrance au regard des connaissances m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dicales av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es. Les actes de pr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vention, d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 xml:space="preserve">investigation ou </w:t>
      </w:r>
      <w:r>
        <w:rPr>
          <w:rFonts w:ascii="Segoe UI" w:eastAsia="Segoe UI" w:hAnsi="Segoe UI" w:cs="Segoe UI"/>
          <w:i/>
          <w:iCs/>
        </w:rPr>
        <w:t>de traitements et de soins ne doivent pas, en l</w:t>
      </w:r>
      <w:r>
        <w:rPr>
          <w:rFonts w:ascii="Segoe UI" w:eastAsia="Segoe UI" w:hAnsi="Segoe UI" w:cs="Segoe UI"/>
          <w:i/>
          <w:iCs/>
        </w:rPr>
        <w:t>’é</w:t>
      </w:r>
      <w:r>
        <w:rPr>
          <w:rFonts w:ascii="Segoe UI" w:eastAsia="Segoe UI" w:hAnsi="Segoe UI" w:cs="Segoe UI"/>
          <w:i/>
          <w:iCs/>
        </w:rPr>
        <w:t>tat des connaissances m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dicales, lui faire courir de risques disproportionn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 par rapport au b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n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fice escompt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. Ces dispositions s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appliquent sans pr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judice ni de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obligation de s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curit</w:t>
      </w:r>
      <w:r>
        <w:rPr>
          <w:rFonts w:ascii="Segoe UI" w:eastAsia="Segoe UI" w:hAnsi="Segoe UI" w:cs="Segoe UI"/>
          <w:i/>
          <w:iCs/>
        </w:rPr>
        <w:t xml:space="preserve">é à </w:t>
      </w:r>
      <w:r>
        <w:rPr>
          <w:rFonts w:ascii="Segoe UI" w:eastAsia="Segoe UI" w:hAnsi="Segoe UI" w:cs="Segoe UI"/>
          <w:i/>
          <w:iCs/>
        </w:rPr>
        <w:t xml:space="preserve">laquelle est </w:t>
      </w:r>
      <w:r>
        <w:rPr>
          <w:rFonts w:ascii="Segoe UI" w:eastAsia="Segoe UI" w:hAnsi="Segoe UI" w:cs="Segoe UI"/>
          <w:i/>
          <w:iCs/>
        </w:rPr>
        <w:t>tenu tout fournisseur de produits de sant</w:t>
      </w:r>
      <w:r>
        <w:rPr>
          <w:rFonts w:ascii="Segoe UI" w:eastAsia="Segoe UI" w:hAnsi="Segoe UI" w:cs="Segoe UI"/>
          <w:i/>
          <w:iCs/>
        </w:rPr>
        <w:t xml:space="preserve">é </w:t>
      </w:r>
      <w:r>
        <w:rPr>
          <w:rFonts w:ascii="Segoe UI" w:eastAsia="Segoe UI" w:hAnsi="Segoe UI" w:cs="Segoe UI"/>
          <w:i/>
          <w:iCs/>
        </w:rPr>
        <w:t>ni de l</w:t>
      </w:r>
      <w:r>
        <w:rPr>
          <w:rFonts w:ascii="Segoe UI" w:eastAsia="Segoe UI" w:hAnsi="Segoe UI" w:cs="Segoe UI"/>
          <w:i/>
          <w:iCs/>
        </w:rPr>
        <w:t>’</w:t>
      </w:r>
      <w:r>
        <w:rPr>
          <w:rFonts w:ascii="Segoe UI" w:eastAsia="Segoe UI" w:hAnsi="Segoe UI" w:cs="Segoe UI"/>
          <w:i/>
          <w:iCs/>
        </w:rPr>
        <w:t>application du titre II du pr</w:t>
      </w:r>
      <w:r>
        <w:rPr>
          <w:rFonts w:ascii="Segoe UI" w:eastAsia="Segoe UI" w:hAnsi="Segoe UI" w:cs="Segoe UI"/>
          <w:i/>
          <w:iCs/>
        </w:rPr>
        <w:t>é</w:t>
      </w:r>
      <w:r>
        <w:rPr>
          <w:rFonts w:ascii="Segoe UI" w:eastAsia="Segoe UI" w:hAnsi="Segoe UI" w:cs="Segoe UI"/>
          <w:i/>
          <w:iCs/>
        </w:rPr>
        <w:t>sent livre</w:t>
      </w:r>
      <w:r>
        <w:rPr>
          <w:rFonts w:ascii="Segoe UI" w:eastAsia="Segoe UI" w:hAnsi="Segoe UI" w:cs="Segoe UI"/>
        </w:rPr>
        <w:t xml:space="preserve"> »</w:t>
      </w:r>
    </w:p>
    <w:p w14:paraId="6A8E4EAE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706D678A" w14:textId="0806C0DE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absence de prise en charge de Monsieur </w:t>
      </w:r>
      <w:r w:rsidR="0066348A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cr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e un danger caract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ris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et imminent pour la vie et la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du mineur et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expose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des risques accrus de contamination, et donc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un traitement inhumain ou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gradant. Afin de faire cesser cette atteinte au droit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la vie et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la sant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 xml:space="preserve">de M. </w:t>
      </w:r>
      <w:r w:rsidR="0066348A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, le juge peut prescrire toute mesure de nature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 xml:space="preserve">faire cesser cette atteinte. </w:t>
      </w:r>
    </w:p>
    <w:p w14:paraId="3029FC6A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55C53BE8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article 3</w:t>
      </w:r>
      <w:r>
        <w:rPr>
          <w:rFonts w:ascii="Segoe UI" w:eastAsia="Segoe UI" w:hAnsi="Segoe UI" w:cs="Segoe UI"/>
        </w:rPr>
        <w:t>75-5 du code civil permet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cis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ment au juge des enfants de prendre toutes les mesures qui s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imposent, pr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vues aux articles 375-3 et 375-4 du code civil, et notamment, si la protection de l'enfant l'exige, le juge des enfants peut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cider de le confier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un service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partemental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aide sociale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enfance. </w:t>
      </w:r>
    </w:p>
    <w:p w14:paraId="0A98257A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09E265E8" w14:textId="77777777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Enfin, la Cour europ</w:t>
      </w:r>
      <w:r>
        <w:rPr>
          <w:rFonts w:ascii="Segoe UI" w:eastAsia="Segoe UI" w:hAnsi="Segoe UI" w:cs="Segoe UI"/>
          <w:b/>
          <w:bCs/>
        </w:rPr>
        <w:t>é</w:t>
      </w:r>
      <w:r>
        <w:rPr>
          <w:rFonts w:ascii="Segoe UI" w:eastAsia="Segoe UI" w:hAnsi="Segoe UI" w:cs="Segoe UI"/>
          <w:b/>
          <w:bCs/>
        </w:rPr>
        <w:t>enne des droits de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homme, sur le fondement de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article 39 du r</w:t>
      </w:r>
      <w:r>
        <w:rPr>
          <w:rFonts w:ascii="Segoe UI" w:eastAsia="Segoe UI" w:hAnsi="Segoe UI" w:cs="Segoe UI"/>
          <w:b/>
          <w:bCs/>
        </w:rPr>
        <w:t>è</w:t>
      </w:r>
      <w:r>
        <w:rPr>
          <w:rFonts w:ascii="Segoe UI" w:eastAsia="Segoe UI" w:hAnsi="Segoe UI" w:cs="Segoe UI"/>
          <w:b/>
          <w:bCs/>
        </w:rPr>
        <w:t xml:space="preserve">glement de la Cour, a pris le 30 mars dernier, une mesure provisoire en </w:t>
      </w:r>
      <w:r>
        <w:rPr>
          <w:rFonts w:ascii="Segoe UI" w:eastAsia="Segoe UI" w:hAnsi="Segoe UI" w:cs="Segoe UI"/>
          <w:b/>
          <w:bCs/>
        </w:rPr>
        <w:lastRenderedPageBreak/>
        <w:t>indiquant au gouvernement fran</w:t>
      </w:r>
      <w:r>
        <w:rPr>
          <w:rFonts w:ascii="Segoe UI" w:eastAsia="Segoe UI" w:hAnsi="Segoe UI" w:cs="Segoe UI"/>
          <w:b/>
          <w:bCs/>
        </w:rPr>
        <w:t>ç</w:t>
      </w:r>
      <w:r>
        <w:rPr>
          <w:rFonts w:ascii="Segoe UI" w:eastAsia="Segoe UI" w:hAnsi="Segoe UI" w:cs="Segoe UI"/>
          <w:b/>
          <w:bCs/>
        </w:rPr>
        <w:t>ais d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assurer le logement et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alimentation d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un mineur isol</w:t>
      </w:r>
      <w:r>
        <w:rPr>
          <w:rFonts w:ascii="Segoe UI" w:eastAsia="Segoe UI" w:hAnsi="Segoe UI" w:cs="Segoe UI"/>
          <w:b/>
          <w:bCs/>
        </w:rPr>
        <w:t>é é</w:t>
      </w:r>
      <w:r>
        <w:rPr>
          <w:rFonts w:ascii="Segoe UI" w:eastAsia="Segoe UI" w:hAnsi="Segoe UI" w:cs="Segoe UI"/>
          <w:b/>
          <w:bCs/>
        </w:rPr>
        <w:t>tranger qui s</w:t>
      </w:r>
      <w:r>
        <w:rPr>
          <w:rFonts w:ascii="Segoe UI" w:eastAsia="Segoe UI" w:hAnsi="Segoe UI" w:cs="Segoe UI"/>
          <w:b/>
          <w:bCs/>
        </w:rPr>
        <w:t>’é</w:t>
      </w:r>
      <w:r>
        <w:rPr>
          <w:rFonts w:ascii="Segoe UI" w:eastAsia="Segoe UI" w:hAnsi="Segoe UI" w:cs="Segoe UI"/>
          <w:b/>
          <w:bCs/>
        </w:rPr>
        <w:t>tait vu refuser la prise en charge par 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 xml:space="preserve">aide sociale </w:t>
      </w:r>
      <w:r>
        <w:rPr>
          <w:rFonts w:ascii="Segoe UI" w:eastAsia="Segoe UI" w:hAnsi="Segoe UI" w:cs="Segoe UI"/>
          <w:b/>
          <w:bCs/>
        </w:rPr>
        <w:t xml:space="preserve">à </w:t>
      </w:r>
      <w:r>
        <w:rPr>
          <w:rFonts w:ascii="Segoe UI" w:eastAsia="Segoe UI" w:hAnsi="Segoe UI" w:cs="Segoe UI"/>
          <w:b/>
          <w:bCs/>
        </w:rPr>
        <w:t>l</w:t>
      </w:r>
      <w:r>
        <w:rPr>
          <w:rFonts w:ascii="Segoe UI" w:eastAsia="Segoe UI" w:hAnsi="Segoe UI" w:cs="Segoe UI"/>
          <w:b/>
          <w:bCs/>
        </w:rPr>
        <w:t>’</w:t>
      </w:r>
      <w:r>
        <w:rPr>
          <w:rFonts w:ascii="Segoe UI" w:eastAsia="Segoe UI" w:hAnsi="Segoe UI" w:cs="Segoe UI"/>
          <w:b/>
          <w:bCs/>
        </w:rPr>
        <w:t>enfance et qui avait form</w:t>
      </w:r>
      <w:r>
        <w:rPr>
          <w:rFonts w:ascii="Segoe UI" w:eastAsia="Segoe UI" w:hAnsi="Segoe UI" w:cs="Segoe UI"/>
          <w:b/>
          <w:bCs/>
        </w:rPr>
        <w:t xml:space="preserve">é </w:t>
      </w:r>
      <w:r>
        <w:rPr>
          <w:rFonts w:ascii="Segoe UI" w:eastAsia="Segoe UI" w:hAnsi="Segoe UI" w:cs="Segoe UI"/>
          <w:b/>
          <w:bCs/>
        </w:rPr>
        <w:t>un recours devant le Juge des enfants, jusqu</w:t>
      </w:r>
      <w:r>
        <w:rPr>
          <w:rFonts w:ascii="Segoe UI" w:eastAsia="Segoe UI" w:hAnsi="Segoe UI" w:cs="Segoe UI"/>
          <w:b/>
          <w:bCs/>
        </w:rPr>
        <w:t xml:space="preserve">’à </w:t>
      </w:r>
      <w:r>
        <w:rPr>
          <w:rFonts w:ascii="Segoe UI" w:eastAsia="Segoe UI" w:hAnsi="Segoe UI" w:cs="Segoe UI"/>
          <w:b/>
          <w:bCs/>
        </w:rPr>
        <w:t>la fin du confinement (requ</w:t>
      </w:r>
      <w:r>
        <w:rPr>
          <w:rFonts w:ascii="Segoe UI" w:eastAsia="Segoe UI" w:hAnsi="Segoe UI" w:cs="Segoe UI"/>
          <w:b/>
          <w:bCs/>
        </w:rPr>
        <w:t>ê</w:t>
      </w:r>
      <w:r>
        <w:rPr>
          <w:rFonts w:ascii="Segoe UI" w:eastAsia="Segoe UI" w:hAnsi="Segoe UI" w:cs="Segoe UI"/>
          <w:b/>
          <w:bCs/>
        </w:rPr>
        <w:t xml:space="preserve">te 15457/20). </w:t>
      </w:r>
    </w:p>
    <w:p w14:paraId="4D6C2BAE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49D4871B" w14:textId="22D8F772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Dans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</w:rPr>
        <w:t>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 xml:space="preserve">t de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>, il vous est demand</w:t>
      </w:r>
      <w:r>
        <w:rPr>
          <w:rFonts w:ascii="Segoe UI" w:eastAsia="Segoe UI" w:hAnsi="Segoe UI" w:cs="Segoe UI"/>
        </w:rPr>
        <w:t xml:space="preserve">é </w:t>
      </w:r>
      <w:r>
        <w:rPr>
          <w:rFonts w:ascii="Segoe UI" w:eastAsia="Segoe UI" w:hAnsi="Segoe UI" w:cs="Segoe UI"/>
        </w:rPr>
        <w:t>de :</w:t>
      </w:r>
    </w:p>
    <w:p w14:paraId="794FE8ED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09A7CF4D" w14:textId="5348F3DA" w:rsidR="00190904" w:rsidRDefault="00C62DF1">
      <w:pPr>
        <w:pStyle w:val="Corps"/>
        <w:widowControl w:val="0"/>
        <w:numPr>
          <w:ilvl w:val="0"/>
          <w:numId w:val="4"/>
        </w:numPr>
      </w:pPr>
      <w:r>
        <w:rPr>
          <w:rFonts w:ascii="Segoe UI" w:eastAsia="Segoe UI" w:hAnsi="Segoe UI" w:cs="Segoe UI"/>
        </w:rPr>
        <w:t>constater la situation de danger et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isolement de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; </w:t>
      </w:r>
    </w:p>
    <w:p w14:paraId="05C8728D" w14:textId="28F4F033" w:rsidR="00190904" w:rsidRDefault="00C62DF1">
      <w:pPr>
        <w:pStyle w:val="Corps"/>
        <w:widowControl w:val="0"/>
        <w:numPr>
          <w:ilvl w:val="0"/>
          <w:numId w:val="4"/>
        </w:numPr>
      </w:pPr>
      <w:r>
        <w:rPr>
          <w:rFonts w:ascii="Segoe UI" w:eastAsia="Segoe UI" w:hAnsi="Segoe UI" w:cs="Segoe UI"/>
        </w:rPr>
        <w:t xml:space="preserve">Constater que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se retrouve expos</w:t>
      </w:r>
      <w:r>
        <w:rPr>
          <w:rFonts w:ascii="Segoe UI" w:eastAsia="Segoe UI" w:hAnsi="Segoe UI" w:cs="Segoe UI"/>
        </w:rPr>
        <w:t xml:space="preserve">é à </w:t>
      </w:r>
      <w:r>
        <w:rPr>
          <w:rFonts w:ascii="Segoe UI" w:eastAsia="Segoe UI" w:hAnsi="Segoe UI" w:cs="Segoe UI"/>
        </w:rPr>
        <w:t xml:space="preserve">un danger sanitaire accru ; </w:t>
      </w:r>
    </w:p>
    <w:p w14:paraId="75DF39D3" w14:textId="7AFC8A39" w:rsidR="00190904" w:rsidRDefault="00C62DF1">
      <w:pPr>
        <w:pStyle w:val="Corps"/>
        <w:widowControl w:val="0"/>
        <w:numPr>
          <w:ilvl w:val="0"/>
          <w:numId w:val="4"/>
        </w:numPr>
      </w:pPr>
      <w:r>
        <w:rPr>
          <w:rFonts w:ascii="Segoe UI" w:eastAsia="Segoe UI" w:hAnsi="Segoe UI" w:cs="Segoe UI"/>
        </w:rPr>
        <w:t xml:space="preserve">Confier </w:t>
      </w:r>
      <w:r w:rsidR="00574605">
        <w:rPr>
          <w:rFonts w:ascii="Segoe UI" w:eastAsia="Segoe UI" w:hAnsi="Segoe UI" w:cs="Segoe UI"/>
        </w:rPr>
        <w:t>immédiatement xxxx</w:t>
      </w:r>
      <w:r>
        <w:rPr>
          <w:rFonts w:ascii="Segoe UI" w:eastAsia="Segoe UI" w:hAnsi="Segoe UI" w:cs="Segoe UI"/>
        </w:rPr>
        <w:t xml:space="preserve">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aide sociale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enfance de </w:t>
      </w:r>
      <w:r w:rsidR="00574605">
        <w:rPr>
          <w:rFonts w:ascii="Segoe UI" w:eastAsia="Segoe UI" w:hAnsi="Segoe UI" w:cs="Segoe UI"/>
        </w:rPr>
        <w:t>xxxx</w:t>
      </w:r>
      <w:r>
        <w:rPr>
          <w:rFonts w:ascii="Segoe UI" w:eastAsia="Segoe UI" w:hAnsi="Segoe UI" w:cs="Segoe UI"/>
        </w:rPr>
        <w:t xml:space="preserve"> dans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attente de la d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cision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intervenir au fond en application des dispositions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article 375-5 du code civil. ; </w:t>
      </w:r>
    </w:p>
    <w:p w14:paraId="0FBA531C" w14:textId="77777777" w:rsidR="00190904" w:rsidRDefault="00C62DF1">
      <w:pPr>
        <w:pStyle w:val="Corps"/>
        <w:widowControl w:val="0"/>
        <w:numPr>
          <w:ilvl w:val="0"/>
          <w:numId w:val="4"/>
        </w:numPr>
      </w:pPr>
      <w:r>
        <w:rPr>
          <w:rFonts w:ascii="Segoe UI" w:eastAsia="Segoe UI" w:hAnsi="Segoe UI" w:cs="Segoe UI"/>
        </w:rPr>
        <w:t>Dire que ce placement devra comprendre la prise en charge du logement, des besoins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alimentation et d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>hygi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>ne, la v</w:t>
      </w:r>
      <w:r>
        <w:rPr>
          <w:rFonts w:ascii="Segoe UI" w:eastAsia="Segoe UI" w:hAnsi="Segoe UI" w:cs="Segoe UI"/>
        </w:rPr>
        <w:t>ê</w:t>
      </w:r>
      <w:r>
        <w:rPr>
          <w:rFonts w:ascii="Segoe UI" w:eastAsia="Segoe UI" w:hAnsi="Segoe UI" w:cs="Segoe UI"/>
        </w:rPr>
        <w:t xml:space="preserve">ture, les soins requis par son 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tat de sant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>, et toute mesure n</w:t>
      </w:r>
      <w:r>
        <w:rPr>
          <w:rFonts w:ascii="Segoe UI" w:eastAsia="Segoe UI" w:hAnsi="Segoe UI" w:cs="Segoe UI"/>
        </w:rPr>
        <w:t>é</w:t>
      </w:r>
      <w:r>
        <w:rPr>
          <w:rFonts w:ascii="Segoe UI" w:eastAsia="Segoe UI" w:hAnsi="Segoe UI" w:cs="Segoe UI"/>
        </w:rPr>
        <w:t xml:space="preserve">cessaire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sa formation et aux loisirs d</w:t>
      </w:r>
      <w:r>
        <w:rPr>
          <w:rFonts w:ascii="Segoe UI" w:eastAsia="Segoe UI" w:hAnsi="Segoe UI" w:cs="Segoe UI"/>
        </w:rPr>
        <w:t>è</w:t>
      </w:r>
      <w:r>
        <w:rPr>
          <w:rFonts w:ascii="Segoe UI" w:eastAsia="Segoe UI" w:hAnsi="Segoe UI" w:cs="Segoe UI"/>
        </w:rPr>
        <w:t xml:space="preserve">s la fin du confinement. </w:t>
      </w:r>
    </w:p>
    <w:p w14:paraId="7A130B98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</w:pPr>
    </w:p>
    <w:p w14:paraId="47B0CFC9" w14:textId="6FE9A1AB" w:rsidR="00190904" w:rsidRDefault="00C62DF1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Vous remerciant par avance de 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attention que vous porterez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cette demande, je vous prie de croire, Madame la</w:t>
      </w:r>
      <w:r w:rsidR="00574605">
        <w:rPr>
          <w:rFonts w:ascii="Segoe UI" w:eastAsia="Segoe UI" w:hAnsi="Segoe UI" w:cs="Segoe UI"/>
        </w:rPr>
        <w:t>/Monsieur le</w:t>
      </w:r>
      <w:bookmarkStart w:id="0" w:name="_GoBack"/>
      <w:bookmarkEnd w:id="0"/>
      <w:r>
        <w:rPr>
          <w:rFonts w:ascii="Segoe UI" w:eastAsia="Segoe UI" w:hAnsi="Segoe UI" w:cs="Segoe UI"/>
        </w:rPr>
        <w:t xml:space="preserve"> Juge des enfa</w:t>
      </w:r>
      <w:r>
        <w:rPr>
          <w:rFonts w:ascii="Segoe UI" w:eastAsia="Segoe UI" w:hAnsi="Segoe UI" w:cs="Segoe UI"/>
        </w:rPr>
        <w:t xml:space="preserve">nts, </w:t>
      </w:r>
      <w:r>
        <w:rPr>
          <w:rFonts w:ascii="Segoe UI" w:eastAsia="Segoe UI" w:hAnsi="Segoe UI" w:cs="Segoe UI"/>
        </w:rPr>
        <w:t xml:space="preserve">à 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</w:rPr>
        <w:t>’</w:t>
      </w:r>
      <w:r>
        <w:rPr>
          <w:rFonts w:ascii="Segoe UI" w:eastAsia="Segoe UI" w:hAnsi="Segoe UI" w:cs="Segoe UI"/>
        </w:rPr>
        <w:t xml:space="preserve">assurance de mes sentiments respectueux. </w:t>
      </w:r>
    </w:p>
    <w:p w14:paraId="65203EBD" w14:textId="77777777" w:rsidR="00190904" w:rsidRDefault="00190904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Segoe UI" w:eastAsia="Segoe UI" w:hAnsi="Segoe UI" w:cs="Segoe UI"/>
        </w:rPr>
      </w:pPr>
    </w:p>
    <w:p w14:paraId="2113C801" w14:textId="77777777" w:rsidR="00190904" w:rsidRDefault="00190904">
      <w:pPr>
        <w:pStyle w:val="Corps"/>
      </w:pPr>
    </w:p>
    <w:p w14:paraId="0EECA50F" w14:textId="454FA80A" w:rsidR="00190904" w:rsidRDefault="00C62DF1">
      <w:pPr>
        <w:pStyle w:val="Corps"/>
        <w:ind w:left="2836" w:hanging="2836"/>
      </w:pPr>
      <w:r>
        <w:tab/>
      </w:r>
      <w:r>
        <w:tab/>
      </w:r>
    </w:p>
    <w:p w14:paraId="2784E9FF" w14:textId="77777777" w:rsidR="00190904" w:rsidRDefault="00190904">
      <w:pPr>
        <w:pStyle w:val="Corps"/>
        <w:ind w:left="2836" w:hanging="2836"/>
      </w:pPr>
    </w:p>
    <w:p w14:paraId="3111A24C" w14:textId="77777777" w:rsidR="00190904" w:rsidRDefault="00190904">
      <w:pPr>
        <w:pStyle w:val="Corps"/>
        <w:ind w:left="2836" w:hanging="2836"/>
      </w:pPr>
    </w:p>
    <w:p w14:paraId="0C8BFC1A" w14:textId="77777777" w:rsidR="00190904" w:rsidRDefault="00190904">
      <w:pPr>
        <w:pStyle w:val="Corps"/>
        <w:ind w:left="2836" w:hanging="2836"/>
      </w:pPr>
    </w:p>
    <w:p w14:paraId="715337A7" w14:textId="77777777" w:rsidR="00190904" w:rsidRDefault="00190904">
      <w:pPr>
        <w:pStyle w:val="Corps"/>
        <w:ind w:left="2836" w:hanging="2836"/>
      </w:pPr>
    </w:p>
    <w:sectPr w:rsidR="00190904">
      <w:footerReference w:type="default" r:id="rId7"/>
      <w:headerReference w:type="first" r:id="rId8"/>
      <w:footerReference w:type="first" r:id="rId9"/>
      <w:pgSz w:w="11900" w:h="16840"/>
      <w:pgMar w:top="0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C804" w14:textId="77777777" w:rsidR="00C62DF1" w:rsidRDefault="00C62DF1">
      <w:r>
        <w:separator/>
      </w:r>
    </w:p>
  </w:endnote>
  <w:endnote w:type="continuationSeparator" w:id="0">
    <w:p w14:paraId="25452B92" w14:textId="77777777" w:rsidR="00C62DF1" w:rsidRDefault="00C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3A6A" w14:textId="77777777" w:rsidR="00190904" w:rsidRDefault="00C62DF1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10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DF3C" w14:textId="1A7EE988" w:rsidR="00190904" w:rsidRDefault="00190904">
    <w:pPr>
      <w:pStyle w:val="Corp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C2DD" w14:textId="77777777" w:rsidR="00C62DF1" w:rsidRDefault="00C62DF1">
      <w:r>
        <w:separator/>
      </w:r>
    </w:p>
  </w:footnote>
  <w:footnote w:type="continuationSeparator" w:id="0">
    <w:p w14:paraId="1ADFBA92" w14:textId="77777777" w:rsidR="00C62DF1" w:rsidRDefault="00C6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C2DD" w14:textId="77777777" w:rsidR="00190904" w:rsidRDefault="00190904">
    <w:pPr>
      <w:pStyle w:val="Corps"/>
      <w:jc w:val="center"/>
      <w:rPr>
        <w:rFonts w:ascii="Bookman Old Style" w:eastAsia="Bookman Old Style" w:hAnsi="Bookman Old Style" w:cs="Bookman Old Style"/>
        <w:b/>
        <w:bCs/>
        <w:sz w:val="32"/>
        <w:szCs w:val="32"/>
      </w:rPr>
    </w:pPr>
  </w:p>
  <w:p w14:paraId="24D162EB" w14:textId="77777777" w:rsidR="00190904" w:rsidRDefault="00190904">
    <w:pPr>
      <w:pStyle w:val="Corps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jc w:val="center"/>
      <w:rPr>
        <w:rFonts w:ascii="Arial Narrow" w:eastAsia="Arial Narrow" w:hAnsi="Arial Narrow" w:cs="Arial Narrow"/>
        <w:b/>
        <w:bCs/>
        <w:sz w:val="16"/>
        <w:szCs w:val="16"/>
      </w:rPr>
    </w:pPr>
  </w:p>
  <w:p w14:paraId="40F4AA0B" w14:textId="77777777" w:rsidR="00190904" w:rsidRDefault="00190904">
    <w:pPr>
      <w:pStyle w:val="Corps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jc w:val="center"/>
      <w:rPr>
        <w:rFonts w:ascii="Arial Narrow" w:eastAsia="Arial Narrow" w:hAnsi="Arial Narrow" w:cs="Arial Narrow"/>
        <w:sz w:val="16"/>
        <w:szCs w:val="16"/>
      </w:rPr>
    </w:pPr>
  </w:p>
  <w:p w14:paraId="052C31BB" w14:textId="77777777" w:rsidR="00190904" w:rsidRDefault="00190904">
    <w:pPr>
      <w:pStyle w:val="Corp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B53"/>
    <w:multiLevelType w:val="hybridMultilevel"/>
    <w:tmpl w:val="F69AF89C"/>
    <w:numStyleLink w:val="Nombres"/>
  </w:abstractNum>
  <w:abstractNum w:abstractNumId="1" w15:restartNumberingAfterBreak="0">
    <w:nsid w:val="0EF86F9F"/>
    <w:multiLevelType w:val="hybridMultilevel"/>
    <w:tmpl w:val="FC1C6632"/>
    <w:styleLink w:val="Puces"/>
    <w:lvl w:ilvl="0" w:tplc="F23C700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A8546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B6A9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043F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4B1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81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65FF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4EF5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09B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255381"/>
    <w:multiLevelType w:val="hybridMultilevel"/>
    <w:tmpl w:val="FC1C6632"/>
    <w:numStyleLink w:val="Puces"/>
  </w:abstractNum>
  <w:abstractNum w:abstractNumId="3" w15:restartNumberingAfterBreak="0">
    <w:nsid w:val="3B340842"/>
    <w:multiLevelType w:val="hybridMultilevel"/>
    <w:tmpl w:val="F69AF89C"/>
    <w:styleLink w:val="Nombres"/>
    <w:lvl w:ilvl="0" w:tplc="0F6CFCC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0CDA6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0406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E291A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0D33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A0436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6B5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48F5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EA98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04"/>
    <w:rsid w:val="00190904"/>
    <w:rsid w:val="001A0A93"/>
    <w:rsid w:val="004A1E78"/>
    <w:rsid w:val="004B6366"/>
    <w:rsid w:val="00574605"/>
    <w:rsid w:val="0066348A"/>
    <w:rsid w:val="0069221A"/>
    <w:rsid w:val="008A4A83"/>
    <w:rsid w:val="008D0475"/>
    <w:rsid w:val="00A06C70"/>
    <w:rsid w:val="00BB165A"/>
    <w:rsid w:val="00C24DDC"/>
    <w:rsid w:val="00C62DF1"/>
    <w:rsid w:val="00D33364"/>
    <w:rsid w:val="00F52E00"/>
    <w:rsid w:val="00F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B21B"/>
  <w15:docId w15:val="{847B796E-67D1-4648-A5BF-D11BB72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  <w:style w:type="numbering" w:customStyle="1" w:styleId="Puces">
    <w:name w:val="Puces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A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93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52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E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3615</Words>
  <Characters>19886</Characters>
  <Application>Microsoft Office Word</Application>
  <DocSecurity>0</DocSecurity>
  <Lines>165</Lines>
  <Paragraphs>46</Paragraphs>
  <ScaleCrop>false</ScaleCrop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15</cp:revision>
  <dcterms:created xsi:type="dcterms:W3CDTF">2020-04-03T10:46:00Z</dcterms:created>
  <dcterms:modified xsi:type="dcterms:W3CDTF">2020-04-03T10:57:00Z</dcterms:modified>
</cp:coreProperties>
</file>